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bookmarkStart w:colFirst="0" w:colLast="0" w:name="_heading=h.gjdgxs" w:id="0"/>
      <w:bookmarkEnd w:id="0"/>
      <w:r w:rsidDel="00000000" w:rsidR="00000000" w:rsidRPr="00000000">
        <w:rPr>
          <w:rFonts w:ascii="Arial" w:cs="Arial" w:eastAsia="Arial" w:hAnsi="Arial"/>
          <w:b w:val="1"/>
          <w:color w:val="000000"/>
          <w:sz w:val="36"/>
          <w:szCs w:val="36"/>
          <w:rtl w:val="0"/>
        </w:rPr>
        <w:t xml:space="preserve">DPS Schedule 7 (Order Procedure and Award Criteria) </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spacing w:after="120" w:before="240" w:lineRule="auto"/>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Part 1: Order Procedure</w:t>
      </w:r>
    </w:p>
    <w:p w:rsidR="00000000" w:rsidDel="00000000" w:rsidP="00000000" w:rsidRDefault="00000000" w:rsidRPr="00000000" w14:paraId="00000003">
      <w:pPr>
        <w:widowControl w:val="1"/>
        <w:numPr>
          <w:ilvl w:val="0"/>
          <w:numId w:val="1"/>
        </w:numPr>
        <w:spacing w:after="98" w:line="259" w:lineRule="auto"/>
        <w:ind w:left="360" w:hanging="360"/>
        <w:rPr>
          <w:rFonts w:ascii="Arial" w:cs="Arial" w:eastAsia="Arial" w:hAnsi="Arial"/>
        </w:rPr>
      </w:pPr>
      <w:r w:rsidDel="00000000" w:rsidR="00000000" w:rsidRPr="00000000">
        <w:rPr>
          <w:rFonts w:ascii="Arial" w:cs="Arial" w:eastAsia="Arial" w:hAnsi="Arial"/>
          <w:b w:val="1"/>
          <w:sz w:val="24"/>
          <w:szCs w:val="24"/>
          <w:rtl w:val="0"/>
        </w:rPr>
        <w:t xml:space="preserve">Definitions </w:t>
      </w:r>
      <w:r w:rsidDel="00000000" w:rsidR="00000000" w:rsidRPr="00000000">
        <w:rPr>
          <w:rtl w:val="0"/>
        </w:rPr>
      </w:r>
    </w:p>
    <w:p w:rsidR="00000000" w:rsidDel="00000000" w:rsidP="00000000" w:rsidRDefault="00000000" w:rsidRPr="00000000" w14:paraId="00000004">
      <w:pPr>
        <w:widowControl w:val="1"/>
        <w:spacing w:after="110" w:line="246" w:lineRule="auto"/>
        <w:ind w:left="1065" w:right="144" w:hanging="360"/>
        <w:rPr>
          <w:rFonts w:ascii="Arial" w:cs="Arial" w:eastAsia="Arial" w:hAnsi="Arial"/>
          <w:sz w:val="24"/>
          <w:szCs w:val="24"/>
        </w:rPr>
      </w:pPr>
      <w:r w:rsidDel="00000000" w:rsidR="00000000" w:rsidRPr="00000000">
        <w:rPr>
          <w:rFonts w:ascii="Arial" w:cs="Arial" w:eastAsia="Arial" w:hAnsi="Arial"/>
          <w:b w:val="1"/>
          <w:color w:val="00000a"/>
          <w:sz w:val="24"/>
          <w:szCs w:val="24"/>
          <w:rtl w:val="0"/>
        </w:rPr>
        <w:t xml:space="preserve">1.1 </w:t>
      </w: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 </w:t>
      </w:r>
    </w:p>
    <w:p w:rsidR="00000000" w:rsidDel="00000000" w:rsidP="00000000" w:rsidRDefault="00000000" w:rsidRPr="00000000" w14:paraId="00000005">
      <w:pPr>
        <w:widowControl w:val="1"/>
        <w:spacing w:after="110" w:line="246" w:lineRule="auto"/>
        <w:ind w:left="4222" w:right="144" w:hanging="3207"/>
        <w:rPr>
          <w:rFonts w:ascii="Arial" w:cs="Arial" w:eastAsia="Arial" w:hAnsi="Arial"/>
          <w:sz w:val="24"/>
          <w:szCs w:val="24"/>
        </w:rPr>
      </w:pPr>
      <w:r w:rsidDel="00000000" w:rsidR="00000000" w:rsidRPr="00000000">
        <w:rPr>
          <w:rtl w:val="0"/>
        </w:rPr>
      </w:r>
    </w:p>
    <w:tbl>
      <w:tblPr>
        <w:tblStyle w:val="Table1"/>
        <w:tblpPr w:leftFromText="0" w:rightFromText="0" w:topFromText="0" w:bottomFromText="0" w:vertAnchor="text" w:horzAnchor="text" w:tblpX="360" w:tblpY="0"/>
        <w:tblW w:w="2625.0" w:type="dxa"/>
        <w:jc w:val="left"/>
        <w:tblLayout w:type="fixed"/>
        <w:tblLook w:val="0400"/>
      </w:tblPr>
      <w:tblGrid>
        <w:gridCol w:w="2625"/>
        <w:tblGridChange w:id="0">
          <w:tblGrid>
            <w:gridCol w:w="2625"/>
          </w:tblGrid>
        </w:tblGridChange>
      </w:tblGrid>
      <w:tr>
        <w:trPr>
          <w:cantSplit w:val="0"/>
          <w:trHeight w:val="2130" w:hRule="atLeast"/>
          <w:tblHeader w:val="0"/>
        </w:trPr>
        <w:tc>
          <w:tcPr>
            <w:tcMar>
              <w:top w:w="0.0" w:type="dxa"/>
              <w:left w:w="0.0" w:type="dxa"/>
              <w:bottom w:w="0.0" w:type="dxa"/>
              <w:right w:w="0.0" w:type="dxa"/>
            </w:tcMar>
          </w:tcPr>
          <w:p w:rsidR="00000000" w:rsidDel="00000000" w:rsidP="00000000" w:rsidRDefault="00000000" w:rsidRPr="00000000" w14:paraId="00000006">
            <w:pPr>
              <w:widowControl w:val="1"/>
              <w:spacing w:after="67" w:line="287" w:lineRule="auto"/>
              <w:ind w:right="99"/>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 “DPS Filters”</w:t>
            </w:r>
          </w:p>
          <w:p w:rsidR="00000000" w:rsidDel="00000000" w:rsidP="00000000" w:rsidRDefault="00000000" w:rsidRPr="00000000" w14:paraId="00000007">
            <w:pPr>
              <w:widowControl w:val="1"/>
              <w:spacing w:after="67" w:line="287" w:lineRule="auto"/>
              <w:ind w:right="99"/>
              <w:rPr>
                <w:rFonts w:ascii="Arial" w:cs="Arial" w:eastAsia="Arial" w:hAnsi="Arial"/>
                <w:b w:val="1"/>
                <w:sz w:val="8"/>
                <w:szCs w:val="8"/>
              </w:rPr>
            </w:pPr>
            <w:r w:rsidDel="00000000" w:rsidR="00000000" w:rsidRPr="00000000">
              <w:rPr>
                <w:rtl w:val="0"/>
              </w:rPr>
            </w:r>
          </w:p>
          <w:p w:rsidR="00000000" w:rsidDel="00000000" w:rsidP="00000000" w:rsidRDefault="00000000" w:rsidRPr="00000000" w14:paraId="00000008">
            <w:pPr>
              <w:widowControl w:val="1"/>
              <w:spacing w:after="67" w:line="287" w:lineRule="auto"/>
              <w:ind w:right="99"/>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9">
            <w:pPr>
              <w:widowControl w:val="1"/>
              <w:spacing w:after="67" w:line="287" w:lineRule="auto"/>
              <w:ind w:right="99"/>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A">
            <w:pPr>
              <w:widowControl w:val="1"/>
              <w:spacing w:after="67" w:line="287" w:lineRule="auto"/>
              <w:ind w:right="99"/>
              <w:rPr>
                <w:rFonts w:ascii="Arial" w:cs="Arial" w:eastAsia="Arial" w:hAnsi="Arial"/>
                <w:b w:val="1"/>
                <w:sz w:val="28"/>
                <w:szCs w:val="28"/>
              </w:rPr>
            </w:pPr>
            <w:r w:rsidDel="00000000" w:rsidR="00000000" w:rsidRPr="00000000">
              <w:rPr>
                <w:rtl w:val="0"/>
              </w:rPr>
            </w:r>
          </w:p>
          <w:p w:rsidR="00000000" w:rsidDel="00000000" w:rsidP="00000000" w:rsidRDefault="00000000" w:rsidRPr="00000000" w14:paraId="0000000B">
            <w:pPr>
              <w:widowControl w:val="1"/>
              <w:spacing w:after="512" w:line="275"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“Supplier Registration Service”  </w:t>
            </w:r>
            <w:r w:rsidDel="00000000" w:rsidR="00000000" w:rsidRPr="00000000">
              <w:rPr>
                <w:rtl w:val="0"/>
              </w:rPr>
            </w:r>
          </w:p>
        </w:tc>
      </w:tr>
    </w:tbl>
    <w:p w:rsidR="00000000" w:rsidDel="00000000" w:rsidP="00000000" w:rsidRDefault="00000000" w:rsidRPr="00000000" w14:paraId="0000000C">
      <w:pPr>
        <w:widowControl w:val="1"/>
        <w:spacing w:after="110" w:line="246" w:lineRule="auto"/>
        <w:ind w:left="3685" w:right="-40" w:hanging="3195"/>
        <w:rPr>
          <w:rFonts w:ascii="Arial" w:cs="Arial" w:eastAsia="Arial" w:hAnsi="Arial"/>
          <w:sz w:val="24"/>
          <w:szCs w:val="24"/>
        </w:rPr>
      </w:pP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rtl w:val="0"/>
        </w:rPr>
        <w:t xml:space="preserve">The DPS filters (which are based on the award criteria set out in the Annex of this Schedule) found within Products and Services Matrix of the Adult Skills and Learning contained within the Supplier Registration Service to enable Buyers to down select Suppliers capable of providing the Deliverables. </w:t>
      </w:r>
    </w:p>
    <w:p w:rsidR="00000000" w:rsidDel="00000000" w:rsidP="00000000" w:rsidRDefault="00000000" w:rsidRPr="00000000" w14:paraId="0000000D">
      <w:pPr>
        <w:widowControl w:val="1"/>
        <w:spacing w:after="110" w:line="246" w:lineRule="auto"/>
        <w:ind w:left="3685" w:right="14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platform used by both Buyers and Suppliers to access Government procurement-related systems.   </w:t>
      </w:r>
    </w:p>
    <w:p w:rsidR="00000000" w:rsidDel="00000000" w:rsidP="00000000" w:rsidRDefault="00000000" w:rsidRPr="00000000" w14:paraId="0000000E">
      <w:pPr>
        <w:widowControl w:val="1"/>
        <w:spacing w:after="110" w:line="246" w:lineRule="auto"/>
        <w:ind w:left="4222" w:right="144" w:firstLine="28.999999999999773"/>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keepNext w:val="1"/>
        <w:widowControl w:val="1"/>
        <w:numPr>
          <w:ilvl w:val="0"/>
          <w:numId w:val="1"/>
        </w:numPr>
        <w:pBdr>
          <w:top w:space="0" w:sz="0" w:val="nil"/>
          <w:left w:space="0" w:sz="0" w:val="nil"/>
          <w:bottom w:space="0" w:sz="0" w:val="nil"/>
          <w:right w:space="0" w:sz="0" w:val="nil"/>
          <w:between w:space="0" w:sz="0" w:val="nil"/>
        </w:pBdr>
        <w:tabs>
          <w:tab w:val="left" w:leader="none" w:pos="142"/>
        </w:tabs>
        <w:spacing w:after="240" w:before="120" w:lineRule="auto"/>
        <w:ind w:left="360"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How an Order Contract is awarded</w:t>
      </w:r>
    </w:p>
    <w:p w:rsidR="00000000" w:rsidDel="00000000" w:rsidP="00000000" w:rsidRDefault="00000000" w:rsidRPr="00000000" w14:paraId="0000001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potential Buyer decides to source Deliverables through this Contract then it will award its Deliverables in accordance with the procedure in this Schedule and the requirements of the Regulations.</w:t>
      </w:r>
    </w:p>
    <w:p w:rsidR="00000000" w:rsidDel="00000000" w:rsidP="00000000" w:rsidRDefault="00000000" w:rsidRPr="00000000" w14:paraId="00000011">
      <w:pPr>
        <w:keepNext w:val="1"/>
        <w:widowControl w:val="1"/>
        <w:numPr>
          <w:ilvl w:val="1"/>
          <w:numId w:val="1"/>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fob9te" w:id="2"/>
      <w:bookmarkEnd w:id="2"/>
      <w:r w:rsidDel="00000000" w:rsidR="00000000" w:rsidRPr="00000000">
        <w:rPr>
          <w:rFonts w:ascii="Arial" w:cs="Arial" w:eastAsia="Arial" w:hAnsi="Arial"/>
          <w:color w:val="000000"/>
          <w:sz w:val="24"/>
          <w:szCs w:val="24"/>
          <w:rtl w:val="0"/>
        </w:rPr>
        <w:t xml:space="preserve">Any potential Buyer awarding an Order Contract must do so in accordance with the Order Procedure set out in Paragraph 3 below.</w:t>
      </w:r>
    </w:p>
    <w:p w:rsidR="00000000" w:rsidDel="00000000" w:rsidP="00000000" w:rsidRDefault="00000000" w:rsidRPr="00000000" w14:paraId="0000001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Parties acknowledge that the Deliverables required as a part of this Contract are categorised as ‘light touch regime’ services under Regulations 74 to 77 of the Regulations. </w:t>
      </w:r>
    </w:p>
    <w:p w:rsidR="00000000" w:rsidDel="00000000" w:rsidP="00000000" w:rsidRDefault="00000000" w:rsidRPr="00000000" w14:paraId="00000013">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4">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3. How a competition works</w:t>
      </w:r>
    </w:p>
    <w:p w:rsidR="00000000" w:rsidDel="00000000" w:rsidP="00000000" w:rsidRDefault="00000000" w:rsidRPr="00000000" w14:paraId="00000015">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ind w:left="1134" w:hanging="774"/>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Buyer has to do</w:t>
      </w:r>
    </w:p>
    <w:p w:rsidR="00000000" w:rsidDel="00000000" w:rsidP="00000000" w:rsidRDefault="00000000" w:rsidRPr="00000000" w14:paraId="00000016">
      <w:pPr>
        <w:keepNext w:val="1"/>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awarding an Order Contract under this Contract through the Order Procedure shall:</w:t>
      </w:r>
    </w:p>
    <w:p w:rsidR="00000000" w:rsidDel="00000000" w:rsidP="00000000" w:rsidRDefault="00000000" w:rsidRPr="00000000" w14:paraId="00000017">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160" w:hanging="720"/>
        <w:rPr>
          <w:rFonts w:ascii="Arial" w:cs="Arial" w:eastAsia="Arial" w:hAnsi="Arial"/>
          <w:color w:val="000000"/>
          <w:sz w:val="24"/>
          <w:szCs w:val="24"/>
        </w:rPr>
      </w:pPr>
      <w:bookmarkStart w:colFirst="0" w:colLast="0" w:name="_heading=h.3znysh7" w:id="3"/>
      <w:bookmarkEnd w:id="3"/>
      <w:r w:rsidDel="00000000" w:rsidR="00000000" w:rsidRPr="00000000">
        <w:rPr>
          <w:rFonts w:ascii="Arial" w:cs="Arial" w:eastAsia="Arial" w:hAnsi="Arial"/>
          <w:color w:val="000000"/>
          <w:sz w:val="24"/>
          <w:szCs w:val="24"/>
          <w:rtl w:val="0"/>
        </w:rPr>
        <w:t xml:space="preserve">develop a clear Statement of Requirements setting out its requirements for the Deliverables </w:t>
      </w:r>
    </w:p>
    <w:p w:rsidR="00000000" w:rsidDel="00000000" w:rsidP="00000000" w:rsidRDefault="00000000" w:rsidRPr="00000000" w14:paraId="00000018">
      <w:pPr>
        <w:widowControl w:val="1"/>
        <w:numPr>
          <w:ilvl w:val="2"/>
          <w:numId w:val="2"/>
        </w:numPr>
        <w:tabs>
          <w:tab w:val="left" w:leader="none" w:pos="3641"/>
        </w:tabs>
        <w:spacing w:after="120" w:before="120" w:lineRule="auto"/>
        <w:ind w:left="2160" w:hanging="720"/>
        <w:rPr>
          <w:rFonts w:ascii="Arial" w:cs="Arial" w:eastAsia="Arial" w:hAnsi="Arial"/>
        </w:rPr>
      </w:pPr>
      <w:r w:rsidDel="00000000" w:rsidR="00000000" w:rsidRPr="00000000">
        <w:rPr>
          <w:rFonts w:ascii="Arial" w:cs="Arial" w:eastAsia="Arial" w:hAnsi="Arial"/>
          <w:sz w:val="24"/>
          <w:szCs w:val="24"/>
          <w:rtl w:val="0"/>
        </w:rPr>
        <w:t xml:space="preserve">select the relevant DPS Filters in accordance with the Buyers service requirements to down select capable Suppliers that best meet the Buyers requirements.      </w:t>
      </w:r>
      <w:r w:rsidDel="00000000" w:rsidR="00000000" w:rsidRPr="00000000">
        <w:rPr>
          <w:rtl w:val="0"/>
        </w:rPr>
      </w:r>
    </w:p>
    <w:p w:rsidR="00000000" w:rsidDel="00000000" w:rsidP="00000000" w:rsidRDefault="00000000" w:rsidRPr="00000000" w14:paraId="00000019">
      <w:pPr>
        <w:widowControl w:val="1"/>
        <w:numPr>
          <w:ilvl w:val="2"/>
          <w:numId w:val="2"/>
        </w:numPr>
        <w:tabs>
          <w:tab w:val="left" w:leader="none" w:pos="3641"/>
        </w:tabs>
        <w:spacing w:after="120" w:before="120" w:lineRule="auto"/>
        <w:ind w:left="2160" w:hanging="720"/>
        <w:rPr>
          <w:rFonts w:ascii="Arial" w:cs="Arial" w:eastAsia="Arial" w:hAnsi="Arial"/>
        </w:rPr>
      </w:pPr>
      <w:r w:rsidDel="00000000" w:rsidR="00000000" w:rsidRPr="00000000">
        <w:rPr>
          <w:rFonts w:ascii="Arial" w:cs="Arial" w:eastAsia="Arial" w:hAnsi="Arial"/>
          <w:sz w:val="24"/>
          <w:szCs w:val="24"/>
          <w:rtl w:val="0"/>
        </w:rPr>
        <w:t xml:space="preserve">The Buyer and CCS may from time to time develop and innovate new DPS Filters. Any consequential amendments to this Contract in order to implement further DPS Filters will be made in accordance with the change and variation clauses set out in the Contract. </w:t>
      </w:r>
      <w:r w:rsidDel="00000000" w:rsidR="00000000" w:rsidRPr="00000000">
        <w:rPr>
          <w:rtl w:val="0"/>
        </w:rPr>
      </w:r>
    </w:p>
    <w:p w:rsidR="00000000" w:rsidDel="00000000" w:rsidP="00000000" w:rsidRDefault="00000000" w:rsidRPr="00000000" w14:paraId="0000001A">
      <w:pPr>
        <w:widowControl w:val="1"/>
        <w:numPr>
          <w:ilvl w:val="2"/>
          <w:numId w:val="2"/>
        </w:numPr>
        <w:tabs>
          <w:tab w:val="left" w:leader="none" w:pos="3641"/>
        </w:tabs>
        <w:spacing w:after="120" w:before="120" w:lineRule="auto"/>
        <w:ind w:left="2160" w:hanging="720"/>
        <w:rPr>
          <w:rFonts w:ascii="Arial" w:cs="Arial" w:eastAsia="Arial" w:hAnsi="Arial"/>
        </w:rPr>
      </w:pPr>
      <w:r w:rsidDel="00000000" w:rsidR="00000000" w:rsidRPr="00000000">
        <w:rPr>
          <w:rFonts w:ascii="Arial" w:cs="Arial" w:eastAsia="Arial" w:hAnsi="Arial"/>
          <w:sz w:val="24"/>
          <w:szCs w:val="24"/>
          <w:rtl w:val="0"/>
        </w:rPr>
        <w:t xml:space="preserve">The Buyer shall then invite tenders from the down selected Suppliers by conducting an Order Procedure for its Deliverables in accordance with the Regulations and in particular: </w:t>
      </w:r>
      <w:r w:rsidDel="00000000" w:rsidR="00000000" w:rsidRPr="00000000">
        <w:rPr>
          <w:rtl w:val="0"/>
        </w:rPr>
      </w:r>
    </w:p>
    <w:p w:rsidR="00000000" w:rsidDel="00000000" w:rsidP="00000000" w:rsidRDefault="00000000" w:rsidRPr="00000000" w14:paraId="0000001B">
      <w:pPr>
        <w:widowControl w:val="1"/>
        <w:numPr>
          <w:ilvl w:val="3"/>
          <w:numId w:val="2"/>
        </w:numPr>
        <w:tabs>
          <w:tab w:val="left" w:leader="none" w:pos="3641"/>
        </w:tabs>
        <w:spacing w:after="120" w:before="120" w:lineRule="auto"/>
        <w:ind w:left="3118" w:hanging="566"/>
        <w:rPr>
          <w:rFonts w:ascii="Arial" w:cs="Arial" w:eastAsia="Arial" w:hAnsi="Arial"/>
        </w:rPr>
      </w:pPr>
      <w:r w:rsidDel="00000000" w:rsidR="00000000" w:rsidRPr="00000000">
        <w:rPr>
          <w:rFonts w:ascii="Arial" w:cs="Arial" w:eastAsia="Arial" w:hAnsi="Arial"/>
          <w:sz w:val="24"/>
          <w:szCs w:val="24"/>
          <w:rtl w:val="0"/>
        </w:rPr>
        <w:t xml:space="preserve">invite the Suppliers to submit a tender in writing for each proposed Order Contract to be awarded by giving written notice by email to the relevant Supplier Representative of each Supplier; </w:t>
      </w:r>
      <w:r w:rsidDel="00000000" w:rsidR="00000000" w:rsidRPr="00000000">
        <w:rPr>
          <w:rtl w:val="0"/>
        </w:rPr>
      </w:r>
    </w:p>
    <w:p w:rsidR="00000000" w:rsidDel="00000000" w:rsidP="00000000" w:rsidRDefault="00000000" w:rsidRPr="00000000" w14:paraId="0000001C">
      <w:pPr>
        <w:widowControl w:val="1"/>
        <w:numPr>
          <w:ilvl w:val="3"/>
          <w:numId w:val="2"/>
        </w:numPr>
        <w:tabs>
          <w:tab w:val="left" w:leader="none" w:pos="3641"/>
        </w:tabs>
        <w:spacing w:after="120" w:before="120" w:lineRule="auto"/>
        <w:ind w:left="3118" w:hanging="566"/>
        <w:rPr>
          <w:rFonts w:ascii="Arial" w:cs="Arial" w:eastAsia="Arial" w:hAnsi="Arial"/>
        </w:rPr>
      </w:pPr>
      <w:r w:rsidDel="00000000" w:rsidR="00000000" w:rsidRPr="00000000">
        <w:rPr>
          <w:rFonts w:ascii="Arial" w:cs="Arial" w:eastAsia="Arial" w:hAnsi="Arial"/>
          <w:sz w:val="24"/>
          <w:szCs w:val="24"/>
          <w:rtl w:val="0"/>
        </w:rPr>
        <w:t xml:space="preserve">set a time limit for the receipt of the tenders which takes into account factors such as the complexity of the subject matter of the proposed Order Contract and the time needed to submit tenders; and </w:t>
      </w:r>
      <w:r w:rsidDel="00000000" w:rsidR="00000000" w:rsidRPr="00000000">
        <w:rPr>
          <w:rtl w:val="0"/>
        </w:rPr>
      </w:r>
    </w:p>
    <w:p w:rsidR="00000000" w:rsidDel="00000000" w:rsidP="00000000" w:rsidRDefault="00000000" w:rsidRPr="00000000" w14:paraId="0000001D">
      <w:pPr>
        <w:widowControl w:val="1"/>
        <w:numPr>
          <w:ilvl w:val="3"/>
          <w:numId w:val="2"/>
        </w:numPr>
        <w:tabs>
          <w:tab w:val="left" w:leader="none" w:pos="3641"/>
        </w:tabs>
        <w:spacing w:after="120" w:before="120" w:lineRule="auto"/>
        <w:ind w:left="3118" w:hanging="566"/>
        <w:rPr>
          <w:rFonts w:ascii="Arial" w:cs="Arial" w:eastAsia="Arial" w:hAnsi="Arial"/>
        </w:rPr>
      </w:pPr>
      <w:r w:rsidDel="00000000" w:rsidR="00000000" w:rsidRPr="00000000">
        <w:rPr>
          <w:rFonts w:ascii="Arial" w:cs="Arial" w:eastAsia="Arial" w:hAnsi="Arial"/>
          <w:sz w:val="24"/>
          <w:szCs w:val="24"/>
          <w:rtl w:val="0"/>
        </w:rPr>
        <w:t xml:space="preserve">keep each tender confidential until the time limit set out for the return of tenders has expired. </w:t>
      </w:r>
      <w:r w:rsidDel="00000000" w:rsidR="00000000" w:rsidRPr="00000000">
        <w:rPr>
          <w:rtl w:val="0"/>
        </w:rPr>
      </w:r>
    </w:p>
    <w:p w:rsidR="00000000" w:rsidDel="00000000" w:rsidP="00000000" w:rsidRDefault="00000000" w:rsidRPr="00000000" w14:paraId="0000001E">
      <w:pPr>
        <w:widowControl w:val="1"/>
        <w:numPr>
          <w:ilvl w:val="2"/>
          <w:numId w:val="2"/>
        </w:numPr>
        <w:tabs>
          <w:tab w:val="left" w:leader="none" w:pos="3641"/>
        </w:tabs>
        <w:spacing w:after="120" w:before="120" w:lineRule="auto"/>
        <w:ind w:left="2160" w:hanging="720"/>
        <w:rPr>
          <w:rFonts w:ascii="Arial" w:cs="Arial" w:eastAsia="Arial" w:hAnsi="Arial"/>
        </w:rPr>
      </w:pPr>
      <w:r w:rsidDel="00000000" w:rsidR="00000000" w:rsidRPr="00000000">
        <w:rPr>
          <w:rFonts w:ascii="Arial" w:cs="Arial" w:eastAsia="Arial" w:hAnsi="Arial"/>
          <w:sz w:val="24"/>
          <w:szCs w:val="24"/>
          <w:rtl w:val="0"/>
        </w:rPr>
        <w:t xml:space="preserve">The Buyer will apply the contract award criteria set out in the Annex of this Schedule as the basis for the decision to award an Order Contract for its Deliverables. </w:t>
      </w:r>
      <w:r w:rsidDel="00000000" w:rsidR="00000000" w:rsidRPr="00000000">
        <w:rPr>
          <w:rtl w:val="0"/>
        </w:rPr>
      </w:r>
    </w:p>
    <w:p w:rsidR="00000000" w:rsidDel="00000000" w:rsidP="00000000" w:rsidRDefault="00000000" w:rsidRPr="00000000" w14:paraId="0000001F">
      <w:pPr>
        <w:widowControl w:val="1"/>
        <w:numPr>
          <w:ilvl w:val="2"/>
          <w:numId w:val="2"/>
        </w:numPr>
        <w:tabs>
          <w:tab w:val="left" w:leader="none" w:pos="3641"/>
        </w:tabs>
        <w:spacing w:after="120" w:before="120" w:lineRule="auto"/>
        <w:ind w:left="2160" w:hanging="720"/>
        <w:rPr>
          <w:rFonts w:ascii="Arial" w:cs="Arial" w:eastAsia="Arial" w:hAnsi="Arial"/>
        </w:rPr>
      </w:pPr>
      <w:r w:rsidDel="00000000" w:rsidR="00000000" w:rsidRPr="00000000">
        <w:rPr>
          <w:rFonts w:ascii="Arial" w:cs="Arial" w:eastAsia="Arial" w:hAnsi="Arial"/>
          <w:sz w:val="24"/>
          <w:szCs w:val="24"/>
          <w:rtl w:val="0"/>
        </w:rPr>
        <w:t xml:space="preserve">On the basis set out above, the Buyer will award its Order Contract to the successful Supplier in accordance with Paragraph 7. The Order Contract shall: </w:t>
      </w:r>
      <w:r w:rsidDel="00000000" w:rsidR="00000000" w:rsidRPr="00000000">
        <w:rPr>
          <w:rtl w:val="0"/>
        </w:rPr>
      </w:r>
    </w:p>
    <w:p w:rsidR="00000000" w:rsidDel="00000000" w:rsidP="00000000" w:rsidRDefault="00000000" w:rsidRPr="00000000" w14:paraId="00000020">
      <w:pPr>
        <w:widowControl w:val="1"/>
        <w:numPr>
          <w:ilvl w:val="3"/>
          <w:numId w:val="2"/>
        </w:numPr>
        <w:tabs>
          <w:tab w:val="left" w:leader="none" w:pos="3641"/>
        </w:tabs>
        <w:spacing w:after="120" w:before="120" w:lineRule="auto"/>
        <w:ind w:left="3118" w:hanging="566"/>
        <w:rPr>
          <w:rFonts w:ascii="Arial" w:cs="Arial" w:eastAsia="Arial" w:hAnsi="Arial"/>
        </w:rPr>
      </w:pPr>
      <w:r w:rsidDel="00000000" w:rsidR="00000000" w:rsidRPr="00000000">
        <w:rPr>
          <w:rFonts w:ascii="Arial" w:cs="Arial" w:eastAsia="Arial" w:hAnsi="Arial"/>
          <w:sz w:val="24"/>
          <w:szCs w:val="24"/>
          <w:rtl w:val="0"/>
        </w:rPr>
        <w:t xml:space="preserve">state the Deliverables; </w:t>
      </w:r>
      <w:r w:rsidDel="00000000" w:rsidR="00000000" w:rsidRPr="00000000">
        <w:rPr>
          <w:rtl w:val="0"/>
        </w:rPr>
      </w:r>
    </w:p>
    <w:p w:rsidR="00000000" w:rsidDel="00000000" w:rsidP="00000000" w:rsidRDefault="00000000" w:rsidRPr="00000000" w14:paraId="00000021">
      <w:pPr>
        <w:widowControl w:val="1"/>
        <w:numPr>
          <w:ilvl w:val="3"/>
          <w:numId w:val="2"/>
        </w:numPr>
        <w:tabs>
          <w:tab w:val="left" w:leader="none" w:pos="3641"/>
        </w:tabs>
        <w:spacing w:after="120" w:before="120" w:lineRule="auto"/>
        <w:ind w:left="3118" w:hanging="566"/>
        <w:rPr>
          <w:rFonts w:ascii="Arial" w:cs="Arial" w:eastAsia="Arial" w:hAnsi="Arial"/>
        </w:rPr>
      </w:pPr>
      <w:r w:rsidDel="00000000" w:rsidR="00000000" w:rsidRPr="00000000">
        <w:rPr>
          <w:rFonts w:ascii="Arial" w:cs="Arial" w:eastAsia="Arial" w:hAnsi="Arial"/>
          <w:sz w:val="24"/>
          <w:szCs w:val="24"/>
          <w:rtl w:val="0"/>
        </w:rPr>
        <w:t xml:space="preserve">state the tender submitted by the successful Supplier; </w:t>
      </w:r>
      <w:r w:rsidDel="00000000" w:rsidR="00000000" w:rsidRPr="00000000">
        <w:rPr>
          <w:rtl w:val="0"/>
        </w:rPr>
      </w:r>
    </w:p>
    <w:p w:rsidR="00000000" w:rsidDel="00000000" w:rsidP="00000000" w:rsidRDefault="00000000" w:rsidRPr="00000000" w14:paraId="00000022">
      <w:pPr>
        <w:widowControl w:val="1"/>
        <w:numPr>
          <w:ilvl w:val="3"/>
          <w:numId w:val="2"/>
        </w:numPr>
        <w:tabs>
          <w:tab w:val="left" w:leader="none" w:pos="3641"/>
        </w:tabs>
        <w:spacing w:after="120" w:before="120" w:lineRule="auto"/>
        <w:ind w:left="3118" w:hanging="566"/>
        <w:rPr>
          <w:rFonts w:ascii="Arial" w:cs="Arial" w:eastAsia="Arial" w:hAnsi="Arial"/>
        </w:rPr>
      </w:pPr>
      <w:r w:rsidDel="00000000" w:rsidR="00000000" w:rsidRPr="00000000">
        <w:rPr>
          <w:rFonts w:ascii="Arial" w:cs="Arial" w:eastAsia="Arial" w:hAnsi="Arial"/>
          <w:sz w:val="24"/>
          <w:szCs w:val="24"/>
          <w:rtl w:val="0"/>
        </w:rPr>
        <w:t xml:space="preserve">state the charges payable for the Deliverables in accordance with the tender submitted by the successful Supplier; and </w:t>
      </w:r>
      <w:r w:rsidDel="00000000" w:rsidR="00000000" w:rsidRPr="00000000">
        <w:rPr>
          <w:rtl w:val="0"/>
        </w:rPr>
      </w:r>
    </w:p>
    <w:p w:rsidR="00000000" w:rsidDel="00000000" w:rsidP="00000000" w:rsidRDefault="00000000" w:rsidRPr="00000000" w14:paraId="00000023">
      <w:pPr>
        <w:widowControl w:val="1"/>
        <w:numPr>
          <w:ilvl w:val="3"/>
          <w:numId w:val="2"/>
        </w:numPr>
        <w:tabs>
          <w:tab w:val="left" w:leader="none" w:pos="3641"/>
        </w:tabs>
        <w:spacing w:after="120" w:before="120" w:lineRule="auto"/>
        <w:ind w:left="3118" w:hanging="566"/>
        <w:rPr>
          <w:rFonts w:ascii="Arial" w:cs="Arial" w:eastAsia="Arial" w:hAnsi="Arial"/>
        </w:rPr>
      </w:pPr>
      <w:r w:rsidDel="00000000" w:rsidR="00000000" w:rsidRPr="00000000">
        <w:rPr>
          <w:rFonts w:ascii="Arial" w:cs="Arial" w:eastAsia="Arial" w:hAnsi="Arial"/>
          <w:sz w:val="24"/>
          <w:szCs w:val="24"/>
          <w:rtl w:val="0"/>
        </w:rPr>
        <w:t xml:space="preserve">incorporate the terms of the Order Form and Contract (as may be amended or refined by the Buyer in accordance with Paragraph 3.1.1 above) applicable to the Deliverables; and </w:t>
      </w:r>
      <w:r w:rsidDel="00000000" w:rsidR="00000000" w:rsidRPr="00000000">
        <w:rPr>
          <w:rtl w:val="0"/>
        </w:rPr>
      </w:r>
    </w:p>
    <w:p w:rsidR="00000000" w:rsidDel="00000000" w:rsidP="00000000" w:rsidRDefault="00000000" w:rsidRPr="00000000" w14:paraId="00000024">
      <w:pPr>
        <w:widowControl w:val="1"/>
        <w:numPr>
          <w:ilvl w:val="2"/>
          <w:numId w:val="2"/>
        </w:numPr>
        <w:tabs>
          <w:tab w:val="left" w:leader="none" w:pos="3641"/>
        </w:tabs>
        <w:spacing w:after="120" w:before="120" w:lineRule="auto"/>
        <w:ind w:left="2160" w:hanging="720"/>
        <w:rPr>
          <w:rFonts w:ascii="Arial" w:cs="Arial" w:eastAsia="Arial" w:hAnsi="Arial"/>
        </w:rPr>
      </w:pPr>
      <w:r w:rsidDel="00000000" w:rsidR="00000000" w:rsidRPr="00000000">
        <w:rPr>
          <w:rFonts w:ascii="Arial" w:cs="Arial" w:eastAsia="Arial" w:hAnsi="Arial"/>
          <w:sz w:val="24"/>
          <w:szCs w:val="24"/>
          <w:rtl w:val="0"/>
        </w:rPr>
        <w:t xml:space="preserve">The Buyer will provide unsuccessful Suppliers with written feedback in relation to the reasons why their tenders were unsuccessful. </w:t>
      </w:r>
      <w:r w:rsidDel="00000000" w:rsidR="00000000" w:rsidRPr="00000000">
        <w:rPr>
          <w:rtl w:val="0"/>
        </w:rPr>
      </w:r>
    </w:p>
    <w:p w:rsidR="00000000" w:rsidDel="00000000" w:rsidP="00000000" w:rsidRDefault="00000000" w:rsidRPr="00000000" w14:paraId="00000025">
      <w:pPr>
        <w:keepNext w:val="1"/>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What the Supplier has to do</w:t>
      </w:r>
    </w:p>
    <w:p w:rsidR="00000000" w:rsidDel="00000000" w:rsidP="00000000" w:rsidRDefault="00000000" w:rsidRPr="00000000" w14:paraId="00000026">
      <w:pPr>
        <w:keepNext w:val="1"/>
        <w:widowControl w:val="1"/>
        <w:numPr>
          <w:ilvl w:val="1"/>
          <w:numId w:val="2"/>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Supplier shall in writing, by the time and date specified by the Buyer following an invitation to tender pursuant to Paragraph 3.1.</w:t>
      </w: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color w:val="000000"/>
          <w:sz w:val="24"/>
          <w:szCs w:val="24"/>
          <w:rtl w:val="0"/>
        </w:rPr>
        <w:t xml:space="preserve"> above, provide CCS and the Buyer with either:</w:t>
      </w:r>
      <w:r w:rsidDel="00000000" w:rsidR="00000000" w:rsidRPr="00000000">
        <w:rPr>
          <w:rtl w:val="0"/>
        </w:rPr>
      </w:r>
    </w:p>
    <w:p w:rsidR="00000000" w:rsidDel="00000000" w:rsidP="00000000" w:rsidRDefault="00000000" w:rsidRPr="00000000" w14:paraId="00000027">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to the effect that it does not wish to tender in relation to the Deliverables; or</w:t>
      </w:r>
    </w:p>
    <w:p w:rsidR="00000000" w:rsidDel="00000000" w:rsidP="00000000" w:rsidRDefault="00000000" w:rsidRPr="00000000" w14:paraId="00000028">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full details of its tender made in respect of the relevant Statement of Requirements. In the event that the Supplier submits such a tender, it should include, as a minimum:</w:t>
      </w:r>
    </w:p>
    <w:p w:rsidR="00000000" w:rsidDel="00000000" w:rsidP="00000000" w:rsidRDefault="00000000" w:rsidRPr="00000000" w14:paraId="00000029">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976"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email response subject line to comprise unique reference number and Supplier name, so as to clearly identify the Supplier;</w:t>
      </w:r>
    </w:p>
    <w:p w:rsidR="00000000" w:rsidDel="00000000" w:rsidP="00000000" w:rsidRDefault="00000000" w:rsidRPr="00000000" w14:paraId="0000002A">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976"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brief summary, in the email (followed by a confirmation letter), stating that the Supplier is bidding for the Statement of Requirements;</w:t>
      </w:r>
    </w:p>
    <w:p w:rsidR="00000000" w:rsidDel="00000000" w:rsidP="00000000" w:rsidRDefault="00000000" w:rsidRPr="00000000" w14:paraId="0000002B">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976"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proposal covering the Deliverables;</w:t>
      </w:r>
    </w:p>
    <w:p w:rsidR="00000000" w:rsidDel="00000000" w:rsidP="00000000" w:rsidRDefault="00000000" w:rsidRPr="00000000" w14:paraId="0000002C">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976"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CVs of key staff – as a minimum any lead consultant, with others, as considered appropriate along with required staff levels (if necessary); and</w:t>
      </w:r>
    </w:p>
    <w:p w:rsidR="00000000" w:rsidDel="00000000" w:rsidP="00000000" w:rsidRDefault="00000000" w:rsidRPr="00000000" w14:paraId="0000002D">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976"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of discounts applicable to the Deliverables, as referenced in DPS Schedule 3 (DPS Pricing) (if applicable).</w:t>
      </w:r>
    </w:p>
    <w:p w:rsidR="00000000" w:rsidDel="00000000" w:rsidP="00000000" w:rsidRDefault="00000000" w:rsidRPr="00000000" w14:paraId="0000002E">
      <w:pPr>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ensure that any prices submitted in relation to an Order Procedure held pursuant to this Paragraph 3 shall reflect DPS Pricing where applicable and take into account any discount to which the Buyer may be entitled as set out in DPS Schedule 3 (DPS Pricing) (if applicable).</w:t>
      </w:r>
    </w:p>
    <w:p w:rsidR="00000000" w:rsidDel="00000000" w:rsidP="00000000" w:rsidRDefault="00000000" w:rsidRPr="00000000" w14:paraId="0000002F">
      <w:pPr>
        <w:keepNext w:val="1"/>
        <w:widowControl w:val="1"/>
        <w:numPr>
          <w:ilvl w:val="2"/>
          <w:numId w:val="2"/>
        </w:numPr>
        <w:pBdr>
          <w:top w:space="0" w:sz="0" w:val="nil"/>
          <w:left w:space="0" w:sz="0" w:val="nil"/>
          <w:bottom w:space="0" w:sz="0" w:val="nil"/>
          <w:right w:space="0" w:sz="0" w:val="nil"/>
          <w:between w:space="0" w:sz="0" w:val="nil"/>
        </w:pBdr>
        <w:tabs>
          <w:tab w:val="left" w:leader="none" w:pos="3641"/>
        </w:tabs>
        <w:spacing w:after="120" w:before="120" w:lineRule="auto"/>
        <w:ind w:left="2976"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agrees that:</w:t>
      </w:r>
    </w:p>
    <w:p w:rsidR="00000000" w:rsidDel="00000000" w:rsidP="00000000" w:rsidRDefault="00000000" w:rsidRPr="00000000" w14:paraId="00000030">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976"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in relation to an Order Procedure held pursuant to this Paragraph 3 shall remain open for acceptance by the Buyer for ninety (90) Working Days (or such other period specified in the invitation to tender issued by the Buyer in accordance with the Order Procedure); and</w:t>
      </w:r>
    </w:p>
    <w:p w:rsidR="00000000" w:rsidDel="00000000" w:rsidP="00000000" w:rsidRDefault="00000000" w:rsidRPr="00000000" w14:paraId="00000031">
      <w:pPr>
        <w:widowControl w:val="1"/>
        <w:numPr>
          <w:ilvl w:val="3"/>
          <w:numId w:val="2"/>
        </w:numPr>
        <w:pBdr>
          <w:top w:space="0" w:sz="0" w:val="nil"/>
          <w:left w:space="0" w:sz="0" w:val="nil"/>
          <w:bottom w:space="0" w:sz="0" w:val="nil"/>
          <w:right w:space="0" w:sz="0" w:val="nil"/>
          <w:between w:space="0" w:sz="0" w:val="nil"/>
        </w:pBdr>
        <w:tabs>
          <w:tab w:val="left" w:leader="none" w:pos="3641"/>
        </w:tabs>
        <w:spacing w:after="120" w:before="120" w:lineRule="auto"/>
        <w:ind w:left="2976" w:hanging="42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rsidR="00000000" w:rsidDel="00000000" w:rsidP="00000000" w:rsidRDefault="00000000" w:rsidRPr="00000000" w14:paraId="00000032">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685" w:hanging="4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rsidR="00000000" w:rsidDel="00000000" w:rsidP="00000000" w:rsidRDefault="00000000" w:rsidRPr="00000000" w14:paraId="00000033">
      <w:pPr>
        <w:widowControl w:val="1"/>
        <w:numPr>
          <w:ilvl w:val="4"/>
          <w:numId w:val="2"/>
        </w:numPr>
        <w:pBdr>
          <w:top w:space="0" w:sz="0" w:val="nil"/>
          <w:left w:space="0" w:sz="0" w:val="nil"/>
          <w:bottom w:space="0" w:sz="0" w:val="nil"/>
          <w:right w:space="0" w:sz="0" w:val="nil"/>
          <w:between w:space="0" w:sz="0" w:val="nil"/>
        </w:pBdr>
        <w:tabs>
          <w:tab w:val="left" w:leader="none" w:pos="6238"/>
        </w:tabs>
        <w:spacing w:after="120" w:before="120" w:lineRule="auto"/>
        <w:ind w:left="3685" w:hanging="4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enter into any arrangement or agreement with any other person that he or the other person(s) shall refrain from submitting a tender or as to the amount of any tenders to be submitted.</w:t>
      </w:r>
    </w:p>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tabs>
          <w:tab w:val="left" w:leader="none" w:pos="6238"/>
        </w:tabs>
        <w:spacing w:after="120" w:before="120" w:lineRule="auto"/>
        <w:ind w:left="2880"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widowControl w:val="1"/>
        <w:spacing w:after="256" w:line="259" w:lineRule="auto"/>
        <w:rPr>
          <w:rFonts w:ascii="Arial" w:cs="Arial" w:eastAsia="Arial" w:hAnsi="Arial"/>
          <w:smallCaps w:val="1"/>
          <w:color w:val="000000"/>
        </w:rPr>
      </w:pPr>
      <w:r w:rsidDel="00000000" w:rsidR="00000000" w:rsidRPr="00000000">
        <w:rPr>
          <w:rFonts w:ascii="Arial" w:cs="Arial" w:eastAsia="Arial" w:hAnsi="Arial"/>
          <w:b w:val="1"/>
          <w:sz w:val="24"/>
          <w:szCs w:val="24"/>
          <w:rtl w:val="0"/>
        </w:rPr>
        <w:t xml:space="preserve">4. E-AUCTIONS - NOT USED </w:t>
      </w:r>
      <w:r w:rsidDel="00000000" w:rsidR="00000000" w:rsidRPr="00000000">
        <w:rPr>
          <w:rtl w:val="0"/>
        </w:rPr>
      </w:r>
    </w:p>
    <w:p w:rsidR="00000000" w:rsidDel="00000000" w:rsidP="00000000" w:rsidRDefault="00000000" w:rsidRPr="00000000" w14:paraId="00000036">
      <w:pPr>
        <w:widowControl w:val="1"/>
        <w:pBdr>
          <w:top w:space="0" w:sz="0" w:val="nil"/>
          <w:left w:space="0" w:sz="0" w:val="nil"/>
          <w:bottom w:space="0" w:sz="0" w:val="nil"/>
          <w:right w:space="0" w:sz="0" w:val="nil"/>
          <w:between w:space="0" w:sz="0" w:val="nil"/>
        </w:pBdr>
        <w:tabs>
          <w:tab w:val="left" w:leader="none" w:pos="3054"/>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7">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5. No requirement to award</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1"/>
          <w:numId w:val="3"/>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Notwithstanding the fact that the Buyer has followed a procedure as set out above in Paragraph 3, the Supplier acknowledges and agrees that the Buyer shall be entitled at all times to decline to make an award for its Deliverables and that nothing in this Contract shall oblige the Buyer to award any Order Contract.</w:t>
      </w:r>
    </w:p>
    <w:p w:rsidR="00000000" w:rsidDel="00000000" w:rsidP="00000000" w:rsidRDefault="00000000" w:rsidRPr="00000000" w14:paraId="00000039">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6. Who is responsible for the award</w:t>
      </w:r>
    </w:p>
    <w:p w:rsidR="00000000" w:rsidDel="00000000" w:rsidP="00000000" w:rsidRDefault="00000000" w:rsidRPr="00000000" w14:paraId="0000003A">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that the Buyer is independently responsible for the conduct of its award of Order Contracts under this Contract and that CCS is not responsible or accountable for and shall have no liability whatsoever, except where it is the Buyer, in relation to:</w:t>
      </w:r>
    </w:p>
    <w:p w:rsidR="00000000" w:rsidDel="00000000" w:rsidP="00000000" w:rsidRDefault="00000000" w:rsidRPr="00000000" w14:paraId="0000003B">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conduct of the Buyer in relation to this Contract; or</w:t>
      </w:r>
    </w:p>
    <w:p w:rsidR="00000000" w:rsidDel="00000000" w:rsidP="00000000" w:rsidRDefault="00000000" w:rsidRPr="00000000" w14:paraId="0000003C">
      <w:pPr>
        <w:widowControl w:val="1"/>
        <w:numPr>
          <w:ilvl w:val="2"/>
          <w:numId w:val="4"/>
        </w:numPr>
        <w:pBdr>
          <w:top w:space="0" w:sz="0" w:val="nil"/>
          <w:left w:space="0" w:sz="0" w:val="nil"/>
          <w:bottom w:space="0" w:sz="0" w:val="nil"/>
          <w:right w:space="0" w:sz="0" w:val="nil"/>
          <w:between w:space="0" w:sz="0" w:val="nil"/>
        </w:pBdr>
        <w:tabs>
          <w:tab w:val="left" w:leader="none" w:pos="3641"/>
        </w:tabs>
        <w:spacing w:after="120" w:before="120" w:lineRule="auto"/>
        <w:ind w:left="216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or non-performance of any Order Contracts between the Supplier and the Buyer entered into pursuant to this Contract.</w:t>
      </w:r>
    </w:p>
    <w:p w:rsidR="00000000" w:rsidDel="00000000" w:rsidP="00000000" w:rsidRDefault="00000000" w:rsidRPr="00000000" w14:paraId="0000003D">
      <w:pPr>
        <w:keepNext w:val="1"/>
        <w:widowControl w:val="1"/>
        <w:pBdr>
          <w:top w:space="0" w:sz="0" w:val="nil"/>
          <w:left w:space="0" w:sz="0" w:val="nil"/>
          <w:bottom w:space="0" w:sz="0" w:val="nil"/>
          <w:right w:space="0" w:sz="0" w:val="nil"/>
          <w:between w:space="0" w:sz="0" w:val="nil"/>
        </w:pBdr>
        <w:tabs>
          <w:tab w:val="left" w:leader="none" w:pos="142"/>
        </w:tabs>
        <w:spacing w:after="240" w:before="120" w:lineRule="auto"/>
        <w:rPr>
          <w:rFonts w:ascii="Arial" w:cs="Arial" w:eastAsia="Arial" w:hAnsi="Arial"/>
          <w:b w:val="1"/>
          <w:smallCaps w:val="1"/>
          <w:color w:val="000000"/>
          <w:sz w:val="24"/>
          <w:szCs w:val="24"/>
        </w:rPr>
      </w:pPr>
      <w:r w:rsidDel="00000000" w:rsidR="00000000" w:rsidRPr="00000000">
        <w:rPr>
          <w:rFonts w:ascii="Arial" w:cs="Arial" w:eastAsia="Arial" w:hAnsi="Arial"/>
          <w:b w:val="1"/>
          <w:color w:val="000000"/>
          <w:sz w:val="24"/>
          <w:szCs w:val="24"/>
          <w:rtl w:val="0"/>
        </w:rPr>
        <w:t xml:space="preserve">7. Awarding and creating an Order Contract</w:t>
      </w:r>
      <w:r w:rsidDel="00000000" w:rsidR="00000000" w:rsidRPr="00000000">
        <w:rPr>
          <w:rtl w:val="0"/>
        </w:rPr>
      </w:r>
    </w:p>
    <w:p w:rsidR="00000000" w:rsidDel="00000000" w:rsidP="00000000" w:rsidRDefault="00000000" w:rsidRPr="00000000" w14:paraId="0000003E">
      <w:pPr>
        <w:keepNext w:val="0"/>
        <w:keepLines w:val="0"/>
        <w:pageBreakBefore w:val="0"/>
        <w:widowControl w:val="1"/>
        <w:numPr>
          <w:ilvl w:val="1"/>
          <w:numId w:val="5"/>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Paragraphs 1 to 6 above, a Buyer may award an Order Contract with the Supplier by sending (including electronically) a signed order form substantially in the form (as may be amended or refined by the Buyer in accordance with Paragraph 3.1.6 above) of the Order Form Template set out in DPS Schedule 6 (Order Form Template and Order Schedules).</w:t>
      </w:r>
    </w:p>
    <w:p w:rsidR="00000000" w:rsidDel="00000000" w:rsidP="00000000" w:rsidRDefault="00000000" w:rsidRPr="00000000" w14:paraId="0000003F">
      <w:pPr>
        <w:widowControl w:val="1"/>
        <w:numPr>
          <w:ilvl w:val="1"/>
          <w:numId w:val="5"/>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agree that any document or communication (including any document or communication in the apparent form of an Order Contract) which is not as described in this Paragraph 7 shall not constitute an Order Contract under this Contract.</w:t>
      </w:r>
    </w:p>
    <w:p w:rsidR="00000000" w:rsidDel="00000000" w:rsidP="00000000" w:rsidRDefault="00000000" w:rsidRPr="00000000" w14:paraId="00000040">
      <w:pPr>
        <w:widowControl w:val="1"/>
        <w:numPr>
          <w:ilvl w:val="1"/>
          <w:numId w:val="5"/>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bookmarkStart w:colFirst="0" w:colLast="0" w:name="_heading=h.17dp8vu" w:id="5"/>
      <w:bookmarkEnd w:id="5"/>
      <w:r w:rsidDel="00000000" w:rsidR="00000000" w:rsidRPr="00000000">
        <w:rPr>
          <w:rFonts w:ascii="Arial" w:cs="Arial" w:eastAsia="Arial" w:hAnsi="Arial"/>
          <w:color w:val="000000"/>
          <w:sz w:val="24"/>
          <w:szCs w:val="24"/>
          <w:rtl w:val="0"/>
        </w:rPr>
        <w:t xml:space="preserve">On receipt of an order form as described in Paragraph 7.1 from a Buyer the Supplier shall accept the Order Contract by promptly signing and returning (including by electronic means) a copy of the order form to the Buyer concerned.</w:t>
      </w:r>
    </w:p>
    <w:p w:rsidR="00000000" w:rsidDel="00000000" w:rsidP="00000000" w:rsidRDefault="00000000" w:rsidRPr="00000000" w14:paraId="00000041">
      <w:pPr>
        <w:widowControl w:val="1"/>
        <w:numPr>
          <w:ilvl w:val="1"/>
          <w:numId w:val="5"/>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countersigned Order Form from the Supplier, the Buyer shall send (including by electronic means) a written notice of receipt to the Supplier within two (2) Working Days and the Order Contract shall be formed with effect from the Order Start Date stated in the Order Form.</w:t>
      </w:r>
    </w:p>
    <w:p w:rsidR="00000000" w:rsidDel="00000000" w:rsidP="00000000" w:rsidRDefault="00000000" w:rsidRPr="00000000" w14:paraId="00000042">
      <w:pPr>
        <w:widowControl w:val="1"/>
        <w:pBdr>
          <w:top w:space="0" w:sz="0" w:val="nil"/>
          <w:left w:space="0" w:sz="0" w:val="nil"/>
          <w:bottom w:space="0" w:sz="0" w:val="nil"/>
          <w:right w:space="0" w:sz="0" w:val="nil"/>
          <w:between w:space="0" w:sz="0" w:val="nil"/>
        </w:pBdr>
        <w:tabs>
          <w:tab w:val="left" w:leader="none" w:pos="3054"/>
        </w:tabs>
        <w:spacing w:after="120" w:before="12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8. Awarding and creating an Exempt Order Contract</w:t>
      </w:r>
    </w:p>
    <w:p w:rsidR="00000000" w:rsidDel="00000000" w:rsidP="00000000" w:rsidRDefault="00000000" w:rsidRPr="00000000" w14:paraId="00000043">
      <w:pPr>
        <w:keepNext w:val="0"/>
        <w:keepLines w:val="0"/>
        <w:pageBreakBefore w:val="0"/>
        <w:widowControl w:val="1"/>
        <w:numPr>
          <w:ilvl w:val="1"/>
          <w:numId w:val="6"/>
        </w:numPr>
        <w:pBdr>
          <w:top w:space="0" w:sz="0" w:val="nil"/>
          <w:left w:space="0" w:sz="0" w:val="nil"/>
          <w:bottom w:space="0" w:sz="0" w:val="nil"/>
          <w:right w:space="0" w:sz="0" w:val="nil"/>
          <w:between w:space="0" w:sz="0" w:val="nil"/>
        </w:pBdr>
        <w:shd w:fill="auto" w:val="clear"/>
        <w:tabs>
          <w:tab w:val="left" w:leader="none" w:pos="3054"/>
        </w:tabs>
        <w:spacing w:after="120" w:before="120" w:line="240" w:lineRule="auto"/>
        <w:ind w:left="108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Paragraph 1 above shall not apply to an Exempt Buyer.</w:t>
      </w:r>
    </w:p>
    <w:p w:rsidR="00000000" w:rsidDel="00000000" w:rsidP="00000000" w:rsidRDefault="00000000" w:rsidRPr="00000000" w14:paraId="00000044">
      <w:pPr>
        <w:widowControl w:val="1"/>
        <w:numPr>
          <w:ilvl w:val="1"/>
          <w:numId w:val="6"/>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a potential Exempt Buyer decides to source Deliverables through this DPS Contract, it will award an Exempt Order Contract for Deliverables in accordance with the procedure in this Schedule as modified by this Paragraph 8 and in accordance with any legal requirements applicable to that potential Exempt Buyer.</w:t>
      </w:r>
    </w:p>
    <w:p w:rsidR="00000000" w:rsidDel="00000000" w:rsidP="00000000" w:rsidRDefault="00000000" w:rsidRPr="00000000" w14:paraId="00000045">
      <w:pPr>
        <w:widowControl w:val="1"/>
        <w:numPr>
          <w:ilvl w:val="1"/>
          <w:numId w:val="6"/>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potential Exempt Buyer may award an Exempt Order Contract under this DPS Contract through a Further Competition Procedure in accordance with Paragraph 3 as modified by Paragraph 8.4 below.</w:t>
      </w:r>
    </w:p>
    <w:p w:rsidR="00000000" w:rsidDel="00000000" w:rsidP="00000000" w:rsidRDefault="00000000" w:rsidRPr="00000000" w14:paraId="00000046">
      <w:pPr>
        <w:widowControl w:val="1"/>
        <w:numPr>
          <w:ilvl w:val="1"/>
          <w:numId w:val="6"/>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potential Exempt Buyer requires the Supplier to develop proposals or a solution in respect of Deliverables, then the potential Exempt Buyer may at its discretion use the procedure set out in Paragraph </w:t>
      </w:r>
      <w:r w:rsidDel="00000000" w:rsidR="00000000" w:rsidRPr="00000000">
        <w:rPr>
          <w:rFonts w:ascii="Arial" w:cs="Arial" w:eastAsia="Arial" w:hAnsi="Arial"/>
          <w:sz w:val="24"/>
          <w:szCs w:val="24"/>
          <w:rtl w:val="0"/>
        </w:rPr>
        <w:t xml:space="preserve">2 above</w:t>
      </w:r>
      <w:r w:rsidDel="00000000" w:rsidR="00000000" w:rsidRPr="00000000">
        <w:rPr>
          <w:rFonts w:ascii="Arial" w:cs="Arial" w:eastAsia="Arial" w:hAnsi="Arial"/>
          <w:color w:val="000000"/>
          <w:sz w:val="24"/>
          <w:szCs w:val="24"/>
          <w:rtl w:val="0"/>
        </w:rPr>
        <w:t xml:space="preserve"> as modified by this Paragraph 8.4. In that case, references to “the Regulations” in Paragraph 3 above shall be read as references to “any legal requirements applicable to that potential Exempt Buyer”, and the Exempt Buyer shall be permitted to modify the Further Competition Procedure in accordance with any legal requirements applicable to the Exempt Buyer.</w:t>
      </w:r>
    </w:p>
    <w:p w:rsidR="00000000" w:rsidDel="00000000" w:rsidP="00000000" w:rsidRDefault="00000000" w:rsidRPr="00000000" w14:paraId="00000047">
      <w:pPr>
        <w:widowControl w:val="1"/>
        <w:numPr>
          <w:ilvl w:val="1"/>
          <w:numId w:val="6"/>
        </w:numPr>
        <w:pBdr>
          <w:top w:space="0" w:sz="0" w:val="nil"/>
          <w:left w:space="0" w:sz="0" w:val="nil"/>
          <w:bottom w:space="0" w:sz="0" w:val="nil"/>
          <w:right w:space="0" w:sz="0" w:val="nil"/>
          <w:between w:space="0" w:sz="0" w:val="nil"/>
        </w:pBdr>
        <w:tabs>
          <w:tab w:val="left" w:leader="none" w:pos="3054"/>
        </w:tabs>
        <w:spacing w:after="120" w:before="120" w:lineRule="auto"/>
        <w:ind w:left="1080" w:hanging="360"/>
        <w:jc w:val="both"/>
        <w:rPr>
          <w:rFonts w:ascii="Arial" w:cs="Arial" w:eastAsia="Arial" w:hAnsi="Arial"/>
          <w:color w:val="000000"/>
          <w:sz w:val="24"/>
          <w:szCs w:val="24"/>
        </w:rPr>
      </w:pPr>
      <w:bookmarkStart w:colFirst="0" w:colLast="0" w:name="_heading=h.3rdcrjn" w:id="6"/>
      <w:bookmarkEnd w:id="6"/>
      <w:r w:rsidDel="00000000" w:rsidR="00000000" w:rsidRPr="00000000">
        <w:rPr>
          <w:rFonts w:ascii="Arial" w:cs="Arial" w:eastAsia="Arial" w:hAnsi="Arial"/>
          <w:color w:val="000000"/>
          <w:sz w:val="24"/>
          <w:szCs w:val="24"/>
          <w:rtl w:val="0"/>
        </w:rPr>
        <w:t xml:space="preserve">Paragraphs 8.1 to 8.4 above are without prejudice to an Exempt Buyer’s ability to make such further modifications to the Order Procedure as it considers necessary and in accordance with any legal requirements applicable to that potential Exempt Buyer.</w:t>
      </w:r>
    </w:p>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tabs>
          <w:tab w:val="left" w:leader="none" w:pos="3054"/>
        </w:tabs>
        <w:spacing w:after="120" w:before="12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widowControl w:val="1"/>
        <w:pBdr>
          <w:top w:space="0" w:sz="0" w:val="nil"/>
          <w:left w:space="0" w:sz="0" w:val="nil"/>
          <w:bottom w:space="0" w:sz="0" w:val="nil"/>
          <w:right w:space="0" w:sz="0" w:val="nil"/>
          <w:between w:space="0" w:sz="0" w:val="nil"/>
        </w:pBdr>
        <w:tabs>
          <w:tab w:val="left" w:leader="none" w:pos="3054"/>
        </w:tabs>
        <w:spacing w:after="120" w:before="120" w:lineRule="auto"/>
        <w:ind w:left="36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color w:val="000000"/>
          <w:sz w:val="36"/>
          <w:szCs w:val="36"/>
        </w:rPr>
      </w:pPr>
      <w:r w:rsidDel="00000000" w:rsidR="00000000" w:rsidRPr="00000000">
        <w:rPr>
          <w:rFonts w:ascii="Arial" w:cs="Arial" w:eastAsia="Arial" w:hAnsi="Arial"/>
          <w:b w:val="1"/>
          <w:color w:val="000000"/>
          <w:sz w:val="36"/>
          <w:szCs w:val="36"/>
          <w:rtl w:val="0"/>
        </w:rPr>
        <w:t xml:space="preserve">Part 2: Award Criteria</w:t>
      </w:r>
      <w:r w:rsidDel="00000000" w:rsidR="00000000" w:rsidRPr="00000000">
        <w:rPr>
          <w:rtl w:val="0"/>
        </w:rPr>
      </w:r>
    </w:p>
    <w:p w:rsidR="00000000" w:rsidDel="00000000" w:rsidP="00000000" w:rsidRDefault="00000000" w:rsidRPr="00000000" w14:paraId="0000004D">
      <w:pPr>
        <w:widowControl w:val="1"/>
        <w:numPr>
          <w:ilvl w:val="0"/>
          <w:numId w:val="7"/>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Part 2 lays out award criteria for an Order Contract on the basis of competition in accordance with the Order Procedure.</w:t>
      </w:r>
    </w:p>
    <w:p w:rsidR="00000000" w:rsidDel="00000000" w:rsidP="00000000" w:rsidRDefault="00000000" w:rsidRPr="00000000" w14:paraId="0000004E">
      <w:pPr>
        <w:widowControl w:val="1"/>
        <w:numPr>
          <w:ilvl w:val="0"/>
          <w:numId w:val="7"/>
        </w:numPr>
        <w:pBdr>
          <w:top w:space="0" w:sz="0" w:val="nil"/>
          <w:left w:space="0" w:sz="0" w:val="nil"/>
          <w:bottom w:space="0" w:sz="0" w:val="nil"/>
          <w:right w:space="0" w:sz="0" w:val="nil"/>
          <w:between w:space="0" w:sz="0" w:val="nil"/>
        </w:pBdr>
        <w:tabs>
          <w:tab w:val="left" w:leader="none" w:pos="3054"/>
        </w:tabs>
        <w:spacing w:after="120" w:before="12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Order Contract may be awarded on the basis </w:t>
      </w:r>
      <w:r w:rsidDel="00000000" w:rsidR="00000000" w:rsidRPr="00000000">
        <w:rPr>
          <w:rFonts w:ascii="Arial" w:cs="Arial" w:eastAsia="Arial" w:hAnsi="Arial"/>
          <w:sz w:val="24"/>
          <w:szCs w:val="24"/>
          <w:rtl w:val="0"/>
        </w:rPr>
        <w:t xml:space="preserve">of the most</w:t>
      </w:r>
      <w:r w:rsidDel="00000000" w:rsidR="00000000" w:rsidRPr="00000000">
        <w:rPr>
          <w:rFonts w:ascii="Arial" w:cs="Arial" w:eastAsia="Arial" w:hAnsi="Arial"/>
          <w:color w:val="000000"/>
          <w:sz w:val="24"/>
          <w:szCs w:val="24"/>
          <w:rtl w:val="0"/>
        </w:rPr>
        <w:t xml:space="preserve"> economically advantageous tender ("MEAT").</w:t>
      </w:r>
    </w:p>
    <w:p w:rsidR="00000000" w:rsidDel="00000000" w:rsidP="00000000" w:rsidRDefault="00000000" w:rsidRPr="00000000" w14:paraId="0000004F">
      <w:pPr>
        <w:widowControl w:val="1"/>
        <w:pBdr>
          <w:top w:space="0" w:sz="0" w:val="nil"/>
          <w:left w:space="0" w:sz="0" w:val="nil"/>
          <w:bottom w:space="0" w:sz="0" w:val="nil"/>
          <w:right w:space="0" w:sz="0" w:val="nil"/>
          <w:between w:space="0" w:sz="0" w:val="nil"/>
        </w:pBdr>
        <w:tabs>
          <w:tab w:val="left" w:leader="none" w:pos="3054"/>
        </w:tabs>
        <w:spacing w:after="120" w:before="120" w:lineRule="auto"/>
        <w:ind w:left="936" w:hanging="576"/>
        <w:rPr>
          <w:rFonts w:ascii="Arial" w:cs="Arial" w:eastAsia="Arial" w:hAnsi="Arial"/>
          <w:b w:val="1"/>
          <w:sz w:val="36"/>
          <w:szCs w:val="36"/>
        </w:rPr>
      </w:pPr>
      <w:r w:rsidDel="00000000" w:rsidR="00000000" w:rsidRPr="00000000">
        <w:br w:type="page"/>
      </w:r>
      <w:r w:rsidDel="00000000" w:rsidR="00000000" w:rsidRPr="00000000">
        <w:rPr>
          <w:rFonts w:ascii="Arial" w:cs="Arial" w:eastAsia="Arial" w:hAnsi="Arial"/>
          <w:b w:val="1"/>
          <w:sz w:val="36"/>
          <w:szCs w:val="36"/>
          <w:rtl w:val="0"/>
        </w:rPr>
        <w:t xml:space="preserve">Annex : Order Award Criteria</w:t>
      </w:r>
      <w:r w:rsidDel="00000000" w:rsidR="00000000" w:rsidRPr="00000000">
        <w:rPr>
          <w:rFonts w:ascii="Arial" w:cs="Arial" w:eastAsia="Arial" w:hAnsi="Arial"/>
          <w:sz w:val="36"/>
          <w:szCs w:val="36"/>
          <w:vertAlign w:val="subscript"/>
          <w:rtl w:val="0"/>
        </w:rPr>
        <w:t xml:space="preserve"> </w:t>
      </w:r>
      <w:r w:rsidDel="00000000" w:rsidR="00000000" w:rsidRPr="00000000">
        <w:rPr>
          <w:rtl w:val="0"/>
        </w:rPr>
      </w:r>
    </w:p>
    <w:p w:rsidR="00000000" w:rsidDel="00000000" w:rsidP="00000000" w:rsidRDefault="00000000" w:rsidRPr="00000000" w14:paraId="00000050">
      <w:pPr>
        <w:widowControl w:val="1"/>
        <w:spacing w:after="218" w:line="246" w:lineRule="auto"/>
        <w:ind w:left="283" w:right="144"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criteria shall be applied to the Deliverables set out in the Suppliers' compliant tenders submitted through the Order Procedure: </w:t>
      </w:r>
    </w:p>
    <w:p w:rsidR="00000000" w:rsidDel="00000000" w:rsidP="00000000" w:rsidRDefault="00000000" w:rsidRPr="00000000" w14:paraId="00000051">
      <w:pPr>
        <w:widowControl w:val="1"/>
        <w:spacing w:line="259" w:lineRule="auto"/>
        <w:rPr>
          <w:rFonts w:ascii="Arial" w:cs="Arial" w:eastAsia="Arial" w:hAnsi="Arial"/>
          <w:sz w:val="24"/>
          <w:szCs w:val="24"/>
        </w:rPr>
      </w:pPr>
      <w:r w:rsidDel="00000000" w:rsidR="00000000" w:rsidRPr="00000000">
        <w:rPr>
          <w:color w:val="ffffff"/>
          <w:rtl w:val="0"/>
        </w:rPr>
        <w:t xml:space="preserve"> </w:t>
      </w:r>
      <w:r w:rsidDel="00000000" w:rsidR="00000000" w:rsidRPr="00000000">
        <w:rPr>
          <w:rtl w:val="0"/>
        </w:rPr>
      </w:r>
    </w:p>
    <w:tbl>
      <w:tblPr>
        <w:tblStyle w:val="Table2"/>
        <w:tblW w:w="9779.0" w:type="dxa"/>
        <w:jc w:val="left"/>
        <w:tblInd w:w="114.0" w:type="dxa"/>
        <w:tblLayout w:type="fixed"/>
        <w:tblLook w:val="0400"/>
      </w:tblPr>
      <w:tblGrid>
        <w:gridCol w:w="540"/>
        <w:gridCol w:w="3854"/>
        <w:gridCol w:w="5385"/>
        <w:tblGridChange w:id="0">
          <w:tblGrid>
            <w:gridCol w:w="540"/>
            <w:gridCol w:w="3854"/>
            <w:gridCol w:w="5385"/>
          </w:tblGrid>
        </w:tblGridChange>
      </w:tblGrid>
      <w:tr>
        <w:trPr>
          <w:cantSplit w:val="0"/>
          <w:trHeight w:val="1350" w:hRule="atLeast"/>
          <w:tblHeader w:val="0"/>
        </w:trPr>
        <w:tc>
          <w:tcPr>
            <w:tcBorders>
              <w:top w:color="000000" w:space="0" w:sz="4" w:val="single"/>
              <w:left w:color="000000" w:space="0" w:sz="4" w:val="single"/>
              <w:bottom w:color="000000" w:space="0" w:sz="4" w:val="single"/>
              <w:right w:color="000000" w:space="0" w:sz="4" w:val="single"/>
            </w:tcBorders>
            <w:shd w:fill="eeece1" w:val="clear"/>
          </w:tcPr>
          <w:p w:rsidR="00000000" w:rsidDel="00000000" w:rsidP="00000000" w:rsidRDefault="00000000" w:rsidRPr="00000000" w14:paraId="00000052">
            <w:pPr>
              <w:widowControl w:val="1"/>
              <w:spacing w:line="259" w:lineRule="auto"/>
              <w:ind w:right="233"/>
              <w:jc w:val="center"/>
              <w:rPr>
                <w:rFonts w:ascii="Arial" w:cs="Arial" w:eastAsia="Arial" w:hAnsi="Arial"/>
                <w:sz w:val="24"/>
                <w:szCs w:val="24"/>
              </w:rPr>
            </w:pPr>
            <w:r w:rsidDel="00000000" w:rsidR="00000000" w:rsidRPr="00000000">
              <w:rPr>
                <w:b w:val="1"/>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eece1" w:val="clear"/>
          </w:tcPr>
          <w:p w:rsidR="00000000" w:rsidDel="00000000" w:rsidP="00000000" w:rsidRDefault="00000000" w:rsidRPr="00000000" w14:paraId="00000053">
            <w:pPr>
              <w:widowControl w:val="1"/>
              <w:spacing w:line="259" w:lineRule="auto"/>
              <w:ind w:left="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Criteria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eeece1" w:val="clear"/>
            <w:vAlign w:val="bottom"/>
          </w:tcPr>
          <w:p w:rsidR="00000000" w:rsidDel="00000000" w:rsidP="00000000" w:rsidRDefault="00000000" w:rsidRPr="00000000" w14:paraId="00000054">
            <w:pPr>
              <w:widowControl w:val="1"/>
              <w:spacing w:line="259" w:lineRule="auto"/>
              <w:ind w:left="1" w:firstLine="0"/>
              <w:rPr>
                <w:rFonts w:ascii="Arial" w:cs="Arial" w:eastAsia="Arial" w:hAnsi="Arial"/>
                <w:sz w:val="24"/>
                <w:szCs w:val="24"/>
              </w:rPr>
            </w:pPr>
            <w:r w:rsidDel="00000000" w:rsidR="00000000" w:rsidRPr="00000000">
              <w:rPr>
                <w:rFonts w:ascii="Arial" w:cs="Arial" w:eastAsia="Arial" w:hAnsi="Arial"/>
                <w:b w:val="1"/>
                <w:sz w:val="24"/>
                <w:szCs w:val="24"/>
                <w:rtl w:val="0"/>
              </w:rPr>
              <w:t xml:space="preserve">Percentage Weightings (or rank order of importance where applicable) - to be set by the Buyer conducting the further competition  </w:t>
            </w:r>
            <w:r w:rsidDel="00000000" w:rsidR="00000000" w:rsidRPr="00000000">
              <w:rPr>
                <w:rtl w:val="0"/>
              </w:rPr>
            </w:r>
          </w:p>
        </w:tc>
      </w:tr>
      <w:tr>
        <w:trPr>
          <w:cantSplit w:val="0"/>
          <w:trHeight w:val="2942"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5">
            <w:pPr>
              <w:widowControl w:val="1"/>
              <w:spacing w:line="259" w:lineRule="auto"/>
              <w:ind w:right="150"/>
              <w:jc w:val="right"/>
              <w:rPr>
                <w:rFonts w:ascii="Arial" w:cs="Arial" w:eastAsia="Arial" w:hAnsi="Arial"/>
                <w:sz w:val="24"/>
                <w:szCs w:val="24"/>
              </w:rPr>
            </w:pPr>
            <w:r w:rsidDel="00000000" w:rsidR="00000000" w:rsidRPr="00000000">
              <w:rPr>
                <w:rFonts w:ascii="Arial" w:cs="Arial" w:eastAsia="Arial" w:hAnsi="Arial"/>
                <w:b w:val="1"/>
                <w:sz w:val="24"/>
                <w:szCs w:val="24"/>
                <w:rtl w:val="0"/>
              </w:rPr>
              <w:t xml:space="preserve">1</w:t>
            </w:r>
            <w:r w:rsidDel="00000000" w:rsidR="00000000" w:rsidRPr="00000000">
              <w:rPr>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56">
            <w:pPr>
              <w:widowControl w:val="1"/>
              <w:spacing w:after="218"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Quality </w:t>
            </w:r>
          </w:p>
          <w:p w:rsidR="00000000" w:rsidDel="00000000" w:rsidP="00000000" w:rsidRDefault="00000000" w:rsidRPr="00000000" w14:paraId="00000057">
            <w:pPr>
              <w:widowControl w:val="1"/>
              <w:spacing w:after="123"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Which may consist of the following criteria: </w:t>
            </w:r>
          </w:p>
          <w:p w:rsidR="00000000" w:rsidDel="00000000" w:rsidP="00000000" w:rsidRDefault="00000000" w:rsidRPr="00000000" w14:paraId="00000058">
            <w:pPr>
              <w:widowControl w:val="1"/>
              <w:numPr>
                <w:ilvl w:val="0"/>
                <w:numId w:val="8"/>
              </w:numPr>
              <w:spacing w:line="259" w:lineRule="auto"/>
              <w:ind w:left="360" w:right="299" w:hanging="360"/>
              <w:rPr/>
            </w:pPr>
            <w:r w:rsidDel="00000000" w:rsidR="00000000" w:rsidRPr="00000000">
              <w:rPr>
                <w:rFonts w:ascii="Arial" w:cs="Arial" w:eastAsia="Arial" w:hAnsi="Arial"/>
                <w:sz w:val="24"/>
                <w:szCs w:val="24"/>
                <w:rtl w:val="0"/>
              </w:rPr>
              <w:t xml:space="preserve">Proposed Delivery Model   </w:t>
            </w:r>
            <w:r w:rsidDel="00000000" w:rsidR="00000000" w:rsidRPr="00000000">
              <w:rPr>
                <w:rtl w:val="0"/>
              </w:rPr>
            </w:r>
          </w:p>
          <w:p w:rsidR="00000000" w:rsidDel="00000000" w:rsidP="00000000" w:rsidRDefault="00000000" w:rsidRPr="00000000" w14:paraId="00000059">
            <w:pPr>
              <w:widowControl w:val="1"/>
              <w:numPr>
                <w:ilvl w:val="0"/>
                <w:numId w:val="8"/>
              </w:numPr>
              <w:spacing w:after="1" w:line="241" w:lineRule="auto"/>
              <w:ind w:left="360" w:right="299" w:hanging="360"/>
              <w:rPr/>
            </w:pPr>
            <w:r w:rsidDel="00000000" w:rsidR="00000000" w:rsidRPr="00000000">
              <w:rPr>
                <w:rFonts w:ascii="Arial" w:cs="Arial" w:eastAsia="Arial" w:hAnsi="Arial"/>
                <w:sz w:val="24"/>
                <w:szCs w:val="24"/>
                <w:rtl w:val="0"/>
              </w:rPr>
              <w:t xml:space="preserve">Organisation Model and  Experience</w:t>
            </w:r>
            <w:r w:rsidDel="00000000" w:rsidR="00000000" w:rsidRPr="00000000">
              <w:rPr>
                <w:rtl w:val="0"/>
              </w:rPr>
            </w:r>
          </w:p>
          <w:p w:rsidR="00000000" w:rsidDel="00000000" w:rsidP="00000000" w:rsidRDefault="00000000" w:rsidRPr="00000000" w14:paraId="0000005A">
            <w:pPr>
              <w:widowControl w:val="1"/>
              <w:numPr>
                <w:ilvl w:val="0"/>
                <w:numId w:val="8"/>
              </w:numPr>
              <w:spacing w:after="1" w:line="241" w:lineRule="auto"/>
              <w:ind w:left="360" w:right="299" w:hanging="360"/>
              <w:rPr/>
            </w:pPr>
            <w:r w:rsidDel="00000000" w:rsidR="00000000" w:rsidRPr="00000000">
              <w:rPr>
                <w:rFonts w:ascii="Arial" w:cs="Arial" w:eastAsia="Arial" w:hAnsi="Arial"/>
                <w:sz w:val="24"/>
                <w:szCs w:val="24"/>
                <w:rtl w:val="0"/>
              </w:rPr>
              <w:t xml:space="preserve">Learner Recruitment</w:t>
            </w:r>
            <w:r w:rsidDel="00000000" w:rsidR="00000000" w:rsidRPr="00000000">
              <w:rPr>
                <w:rtl w:val="0"/>
              </w:rPr>
            </w:r>
          </w:p>
          <w:p w:rsidR="00000000" w:rsidDel="00000000" w:rsidP="00000000" w:rsidRDefault="00000000" w:rsidRPr="00000000" w14:paraId="0000005B">
            <w:pPr>
              <w:widowControl w:val="1"/>
              <w:numPr>
                <w:ilvl w:val="0"/>
                <w:numId w:val="8"/>
              </w:numPr>
              <w:spacing w:after="1" w:line="241" w:lineRule="auto"/>
              <w:ind w:left="360" w:right="299" w:hanging="360"/>
              <w:rPr/>
            </w:pPr>
            <w:r w:rsidDel="00000000" w:rsidR="00000000" w:rsidRPr="00000000">
              <w:rPr>
                <w:rFonts w:ascii="Arial" w:cs="Arial" w:eastAsia="Arial" w:hAnsi="Arial"/>
                <w:sz w:val="24"/>
                <w:szCs w:val="24"/>
                <w:rtl w:val="0"/>
              </w:rPr>
              <w:t xml:space="preserve">Mobilisation Plan</w:t>
            </w:r>
            <w:r w:rsidDel="00000000" w:rsidR="00000000" w:rsidRPr="00000000">
              <w:rPr>
                <w:rtl w:val="0"/>
              </w:rPr>
              <w:t xml:space="preserve"> </w:t>
            </w:r>
          </w:p>
          <w:p w:rsidR="00000000" w:rsidDel="00000000" w:rsidP="00000000" w:rsidRDefault="00000000" w:rsidRPr="00000000" w14:paraId="0000005C">
            <w:pPr>
              <w:widowControl w:val="1"/>
              <w:numPr>
                <w:ilvl w:val="0"/>
                <w:numId w:val="8"/>
              </w:numPr>
              <w:spacing w:after="1" w:line="241" w:lineRule="auto"/>
              <w:ind w:left="360" w:right="299" w:hanging="360"/>
              <w:rPr/>
            </w:pPr>
            <w:r w:rsidDel="00000000" w:rsidR="00000000" w:rsidRPr="00000000">
              <w:rPr>
                <w:rFonts w:ascii="Arial" w:cs="Arial" w:eastAsia="Arial" w:hAnsi="Arial"/>
                <w:sz w:val="24"/>
                <w:szCs w:val="24"/>
                <w:rtl w:val="0"/>
              </w:rPr>
              <w:t xml:space="preserve">Quality Assurance   </w:t>
            </w: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D">
            <w:pPr>
              <w:widowControl w:val="1"/>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30 to 90% (at Buyer discretion) </w:t>
            </w: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r w:rsidDel="00000000" w:rsidR="00000000" w:rsidRPr="00000000">
              <w:rPr>
                <w:rtl w:val="0"/>
              </w:rPr>
            </w:r>
          </w:p>
        </w:tc>
      </w:tr>
      <w:tr>
        <w:trPr>
          <w:cantSplit w:val="0"/>
          <w:trHeight w:val="64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E">
            <w:pPr>
              <w:widowControl w:val="1"/>
              <w:spacing w:line="259" w:lineRule="auto"/>
              <w:ind w:right="150"/>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tl w:val="0"/>
              </w:rPr>
              <w:t xml:space="preserv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5F">
            <w:pPr>
              <w:widowControl w:val="1"/>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Price</w:t>
            </w: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60">
            <w:pPr>
              <w:widowControl w:val="1"/>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to 50% (at Buyer discretion) </w:t>
            </w:r>
            <w:r w:rsidDel="00000000" w:rsidR="00000000" w:rsidRPr="00000000">
              <w:rPr>
                <w:rtl w:val="0"/>
              </w:rPr>
              <w:t xml:space="preserve">     </w:t>
            </w:r>
            <w:r w:rsidDel="00000000" w:rsidR="00000000" w:rsidRPr="00000000">
              <w:rPr>
                <w:rFonts w:ascii="Arial" w:cs="Arial" w:eastAsia="Arial" w:hAnsi="Arial"/>
                <w:sz w:val="24"/>
                <w:szCs w:val="24"/>
                <w:rtl w:val="0"/>
              </w:rPr>
              <w:t xml:space="preserve"> </w:t>
            </w:r>
          </w:p>
        </w:tc>
      </w:tr>
      <w:tr>
        <w:trPr>
          <w:cantSplit w:val="0"/>
          <w:trHeight w:val="364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1">
            <w:pPr>
              <w:widowControl w:val="1"/>
              <w:spacing w:line="259" w:lineRule="auto"/>
              <w:ind w:right="150"/>
              <w:jc w:val="right"/>
              <w:rPr>
                <w:rFonts w:ascii="Arial" w:cs="Arial" w:eastAsia="Arial" w:hAnsi="Arial"/>
                <w:sz w:val="24"/>
                <w:szCs w:val="24"/>
              </w:rPr>
            </w:pPr>
            <w:r w:rsidDel="00000000" w:rsidR="00000000" w:rsidRPr="00000000">
              <w:rPr>
                <w:rFonts w:ascii="Arial" w:cs="Arial" w:eastAsia="Arial" w:hAnsi="Arial"/>
                <w:sz w:val="24"/>
                <w:szCs w:val="24"/>
                <w:rtl w:val="0"/>
              </w:rPr>
              <w:t xml:space="preserve">3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62">
            <w:pPr>
              <w:widowControl w:val="1"/>
              <w:spacing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w:t>
            </w:r>
          </w:p>
        </w:tc>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063">
            <w:pPr>
              <w:widowControl w:val="1"/>
              <w:spacing w:after="218" w:line="259" w:lineRule="auto"/>
              <w:ind w:left="1"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0 to 20% (at Buyer discretion)  </w:t>
            </w:r>
          </w:p>
          <w:p w:rsidR="00000000" w:rsidDel="00000000" w:rsidP="00000000" w:rsidRDefault="00000000" w:rsidRPr="00000000" w14:paraId="00000064">
            <w:pPr>
              <w:widowControl w:val="1"/>
              <w:tabs>
                <w:tab w:val="center" w:leader="none" w:pos="1545"/>
                <w:tab w:val="center" w:leader="none" w:pos="2709"/>
                <w:tab w:val="center" w:leader="none" w:pos="3414"/>
                <w:tab w:val="center" w:leader="none" w:pos="3869"/>
                <w:tab w:val="right" w:leader="none" w:pos="5130"/>
              </w:tabs>
              <w:spacing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 </w:t>
              <w:tab/>
              <w:t xml:space="preserve">Guidance: </w:t>
              <w:tab/>
              <w:t xml:space="preserve">There </w:t>
              <w:tab/>
              <w:t xml:space="preserve">is </w:t>
              <w:tab/>
              <w:t xml:space="preserve">a </w:t>
              <w:tab/>
              <w:t xml:space="preserve">Central </w:t>
            </w:r>
          </w:p>
          <w:p w:rsidR="00000000" w:rsidDel="00000000" w:rsidP="00000000" w:rsidRDefault="00000000" w:rsidRPr="00000000" w14:paraId="00000065">
            <w:pPr>
              <w:widowControl w:val="1"/>
              <w:spacing w:line="259" w:lineRule="auto"/>
              <w:ind w:left="1" w:right="119" w:firstLine="0"/>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Government requirement for Social Value to be evaluated. The Social Value weighting must be at least 10% to account for this. The 0% weighting option for Social Value is available to Wider Public Sector organisations if they wish to evaluate without Social Value. The +20% variance is to give the option for Buyers to include a Social Value weighting up to a maximum of 20%.] </w:t>
            </w:r>
          </w:p>
        </w:tc>
      </w:tr>
    </w:tbl>
    <w:p w:rsidR="00000000" w:rsidDel="00000000" w:rsidP="00000000" w:rsidRDefault="00000000" w:rsidRPr="00000000" w14:paraId="00000066">
      <w:pPr>
        <w:widowControl w:val="1"/>
        <w:spacing w:after="232" w:line="259" w:lineRule="auto"/>
        <w:rPr>
          <w:rFonts w:ascii="Arial" w:cs="Arial" w:eastAsia="Arial" w:hAnsi="Arial"/>
          <w:b w:val="1"/>
          <w:sz w:val="36"/>
          <w:szCs w:val="36"/>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C">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RM6348 Adult Skills and Learning DPS</w:t>
      <w:tab/>
      <w:t xml:space="preserve">                                           </w:t>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tabs>
        <w:tab w:val="center" w:leader="none" w:pos="4513"/>
        <w:tab w:val="right" w:leader="none" w:pos="9026"/>
      </w:tabs>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E">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v2.0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F">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p w:rsidR="00000000" w:rsidDel="00000000" w:rsidP="00000000" w:rsidRDefault="00000000" w:rsidRPr="00000000" w14:paraId="00000070">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r>
  </w:p>
  <w:p w:rsidR="00000000" w:rsidDel="00000000" w:rsidP="00000000" w:rsidRDefault="00000000" w:rsidRPr="00000000" w14:paraId="00000071">
    <w:pPr>
      <w:tabs>
        <w:tab w:val="center" w:leader="none" w:pos="4513"/>
        <w:tab w:val="right" w:leader="none"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72">
    <w:pPr>
      <w:tabs>
        <w:tab w:val="left" w:leader="none" w:pos="720"/>
        <w:tab w:val="left" w:leader="none" w:pos="1440"/>
        <w:tab w:val="left" w:leader="none" w:pos="2160"/>
        <w:tab w:val="left" w:leader="none" w:pos="2880"/>
        <w:tab w:val="left" w:leader="none" w:pos="3600"/>
        <w:tab w:val="center" w:leader="none" w:pos="4513"/>
      </w:tabs>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 v3.0</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DPS Schedule 7 (Order Procedure)</w:t>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w:t>
    </w:r>
    <w:r w:rsidDel="00000000" w:rsidR="00000000" w:rsidRPr="00000000">
      <w:rPr>
        <w:rFonts w:ascii="Arial" w:cs="Arial" w:eastAsia="Arial" w:hAnsi="Arial"/>
        <w:sz w:val="20"/>
        <w:szCs w:val="20"/>
        <w:rtl w:val="0"/>
      </w:rPr>
      <w:t xml:space="preserve">2024</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Framework Schedule 7 (Call-Off Award Procedure)</w:t>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 2018</w:t>
    </w:r>
  </w:p>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tabs>
        <w:tab w:val="center" w:leader="none" w:pos="4513"/>
        <w:tab w:val="right" w:leader="none" w:pos="9026"/>
      </w:tabs>
      <w:jc w:val="both"/>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3"/>
      <w:numFmt w:val="decimal"/>
      <w:lvlText w:val="%1"/>
      <w:lvlJc w:val="left"/>
      <w:pPr>
        <w:ind w:left="360" w:hanging="360"/>
      </w:pPr>
      <w:rPr/>
    </w:lvl>
    <w:lvl w:ilvl="1">
      <w:start w:val="1"/>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3">
    <w:lvl w:ilvl="0">
      <w:start w:val="5"/>
      <w:numFmt w:val="decimal"/>
      <w:lvlText w:val="%1"/>
      <w:lvlJc w:val="left"/>
      <w:pPr>
        <w:ind w:left="360" w:hanging="360"/>
      </w:pPr>
      <w:rPr/>
    </w:lvl>
    <w:lvl w:ilvl="1">
      <w:start w:val="1"/>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4">
    <w:lvl w:ilvl="0">
      <w:start w:val="6"/>
      <w:numFmt w:val="decimal"/>
      <w:lvlText w:val="%1"/>
      <w:lvlJc w:val="left"/>
      <w:pPr>
        <w:ind w:left="360" w:hanging="360"/>
      </w:pPr>
      <w:rPr/>
    </w:lvl>
    <w:lvl w:ilvl="1">
      <w:start w:val="1"/>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5">
    <w:lvl w:ilvl="0">
      <w:start w:val="7"/>
      <w:numFmt w:val="decimal"/>
      <w:lvlText w:val="%1"/>
      <w:lvlJc w:val="left"/>
      <w:pPr>
        <w:ind w:left="360" w:hanging="360"/>
      </w:pPr>
      <w:rPr/>
    </w:lvl>
    <w:lvl w:ilvl="1">
      <w:start w:val="1"/>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6">
    <w:lvl w:ilvl="0">
      <w:start w:val="8"/>
      <w:numFmt w:val="decimal"/>
      <w:lvlText w:val="%1"/>
      <w:lvlJc w:val="left"/>
      <w:pPr>
        <w:ind w:left="360" w:hanging="360"/>
      </w:pPr>
      <w:rPr/>
    </w:lvl>
    <w:lvl w:ilvl="1">
      <w:start w:val="1"/>
      <w:numFmt w:val="decimal"/>
      <w:lvlText w:val="%1.%2"/>
      <w:lvlJc w:val="left"/>
      <w:pPr>
        <w:ind w:left="1080" w:hanging="360"/>
      </w:pPr>
      <w:rPr/>
    </w:lvl>
    <w:lvl w:ilvl="2">
      <w:start w:val="1"/>
      <w:numFmt w:val="decimal"/>
      <w:lvlText w:val="%1.%2.%3"/>
      <w:lvlJc w:val="left"/>
      <w:pPr>
        <w:ind w:left="2160" w:hanging="720"/>
      </w:pPr>
      <w:rPr/>
    </w:lvl>
    <w:lvl w:ilvl="3">
      <w:start w:val="1"/>
      <w:numFmt w:val="decimal"/>
      <w:lvlText w:val="%1.%2.%3.%4"/>
      <w:lvlJc w:val="left"/>
      <w:pPr>
        <w:ind w:left="3240" w:hanging="1080"/>
      </w:pPr>
      <w:rPr/>
    </w:lvl>
    <w:lvl w:ilvl="4">
      <w:start w:val="1"/>
      <w:numFmt w:val="decimal"/>
      <w:lvlText w:val="%1.%2.%3.%4.%5"/>
      <w:lvlJc w:val="left"/>
      <w:pPr>
        <w:ind w:left="3960" w:hanging="1080"/>
      </w:pPr>
      <w:rPr/>
    </w:lvl>
    <w:lvl w:ilvl="5">
      <w:start w:val="1"/>
      <w:numFmt w:val="decimal"/>
      <w:lvlText w:val="%1.%2.%3.%4.%5.%6"/>
      <w:lvlJc w:val="left"/>
      <w:pPr>
        <w:ind w:left="5040" w:hanging="1440"/>
      </w:pPr>
      <w:rPr/>
    </w:lvl>
    <w:lvl w:ilvl="6">
      <w:start w:val="1"/>
      <w:numFmt w:val="decimal"/>
      <w:lvlText w:val="%1.%2.%3.%4.%5.%6.%7"/>
      <w:lvlJc w:val="left"/>
      <w:pPr>
        <w:ind w:left="5760" w:hanging="1440"/>
      </w:pPr>
      <w:rPr/>
    </w:lvl>
    <w:lvl w:ilvl="7">
      <w:start w:val="1"/>
      <w:numFmt w:val="decimal"/>
      <w:lvlText w:val="%1.%2.%3.%4.%5.%6.%7.%8"/>
      <w:lvlJc w:val="left"/>
      <w:pPr>
        <w:ind w:left="6840" w:hanging="1800"/>
      </w:pPr>
      <w:rPr/>
    </w:lvl>
    <w:lvl w:ilvl="8">
      <w:start w:val="1"/>
      <w:numFmt w:val="decimal"/>
      <w:lvlText w:val="%1.%2.%3.%4.%5.%6.%7.%8.%9"/>
      <w:lvlJc w:val="left"/>
      <w:pPr>
        <w:ind w:left="7560" w:hanging="1800"/>
      </w:pPr>
      <w:rPr/>
    </w:lvl>
  </w:abstractNum>
  <w:abstractNum w:abstractNumId="7">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rPr/>
    </w:lvl>
    <w:lvl w:ilvl="7">
      <w:start w:val="1"/>
      <w:numFmt w:val="decimal"/>
      <w:lvlText w:val="%1.%2.%3.%4.%5.%6.%7.%8"/>
      <w:lvlJc w:val="left"/>
      <w:pPr>
        <w:ind w:left="2520" w:hanging="1440"/>
      </w:pPr>
      <w:rPr/>
    </w:lvl>
    <w:lvl w:ilvl="8">
      <w:start w:val="1"/>
      <w:numFmt w:val="decimal"/>
      <w:lvlText w:val="%1.%2.%3.%4.%5.%6.%7.%8.%9"/>
      <w:lvlJc w:val="left"/>
      <w:pPr>
        <w:ind w:left="2880" w:hanging="1800"/>
      </w:pPr>
      <w:rPr/>
    </w:lvl>
  </w:abstractNum>
  <w:abstractNum w:abstractNumId="8">
    <w:lvl w:ilvl="0">
      <w:start w:val="1"/>
      <w:numFmt w:val="bullet"/>
      <w:lvlText w:val="●"/>
      <w:lvlJc w:val="left"/>
      <w:pPr>
        <w:ind w:left="360" w:hanging="360"/>
      </w:pPr>
      <w:rPr>
        <w:rFonts w:ascii="Times New Roman" w:cs="Times New Roman" w:eastAsia="Times New Roman" w:hAnsi="Times New Roman"/>
        <w:b w:val="0"/>
        <w:i w:val="0"/>
        <w:strike w:val="0"/>
        <w:color w:val="000000"/>
        <w:sz w:val="24"/>
        <w:szCs w:val="24"/>
        <w:u w:val="none"/>
        <w:shd w:fill="auto" w:val="clear"/>
        <w:vertAlign w:val="baseline"/>
      </w:rPr>
    </w:lvl>
    <w:lvl w:ilvl="1">
      <w:start w:val="1"/>
      <w:numFmt w:val="bullet"/>
      <w:lvlText w:val="o"/>
      <w:lvlJc w:val="left"/>
      <w:pPr>
        <w:ind w:left="1555" w:hanging="1555"/>
      </w:pPr>
      <w:rPr>
        <w:rFonts w:ascii="Times New Roman" w:cs="Times New Roman" w:eastAsia="Times New Roman" w:hAnsi="Times New Roman"/>
        <w:b w:val="0"/>
        <w:i w:val="0"/>
        <w:strike w:val="0"/>
        <w:color w:val="000000"/>
        <w:sz w:val="24"/>
        <w:szCs w:val="24"/>
        <w:u w:val="none"/>
        <w:shd w:fill="auto" w:val="clear"/>
        <w:vertAlign w:val="baseline"/>
      </w:rPr>
    </w:lvl>
    <w:lvl w:ilvl="2">
      <w:start w:val="1"/>
      <w:numFmt w:val="bullet"/>
      <w:lvlText w:val="▪"/>
      <w:lvlJc w:val="left"/>
      <w:pPr>
        <w:ind w:left="2275" w:hanging="2275"/>
      </w:pPr>
      <w:rPr>
        <w:rFonts w:ascii="Times New Roman" w:cs="Times New Roman" w:eastAsia="Times New Roman" w:hAnsi="Times New Roman"/>
        <w:b w:val="0"/>
        <w:i w:val="0"/>
        <w:strike w:val="0"/>
        <w:color w:val="000000"/>
        <w:sz w:val="24"/>
        <w:szCs w:val="24"/>
        <w:u w:val="none"/>
        <w:shd w:fill="auto" w:val="clear"/>
        <w:vertAlign w:val="baseline"/>
      </w:rPr>
    </w:lvl>
    <w:lvl w:ilvl="3">
      <w:start w:val="1"/>
      <w:numFmt w:val="bullet"/>
      <w:lvlText w:val="•"/>
      <w:lvlJc w:val="left"/>
      <w:pPr>
        <w:ind w:left="2995" w:hanging="2995"/>
      </w:pPr>
      <w:rPr>
        <w:rFonts w:ascii="Times New Roman" w:cs="Times New Roman" w:eastAsia="Times New Roman" w:hAnsi="Times New Roman"/>
        <w:b w:val="0"/>
        <w:i w:val="0"/>
        <w:strike w:val="0"/>
        <w:color w:val="000000"/>
        <w:sz w:val="24"/>
        <w:szCs w:val="24"/>
        <w:u w:val="none"/>
        <w:shd w:fill="auto" w:val="clear"/>
        <w:vertAlign w:val="baseline"/>
      </w:rPr>
    </w:lvl>
    <w:lvl w:ilvl="4">
      <w:start w:val="1"/>
      <w:numFmt w:val="bullet"/>
      <w:lvlText w:val="o"/>
      <w:lvlJc w:val="left"/>
      <w:pPr>
        <w:ind w:left="3715" w:hanging="3715"/>
      </w:pPr>
      <w:rPr>
        <w:rFonts w:ascii="Times New Roman" w:cs="Times New Roman" w:eastAsia="Times New Roman" w:hAnsi="Times New Roman"/>
        <w:b w:val="0"/>
        <w:i w:val="0"/>
        <w:strike w:val="0"/>
        <w:color w:val="000000"/>
        <w:sz w:val="24"/>
        <w:szCs w:val="24"/>
        <w:u w:val="none"/>
        <w:shd w:fill="auto" w:val="clear"/>
        <w:vertAlign w:val="baseline"/>
      </w:rPr>
    </w:lvl>
    <w:lvl w:ilvl="5">
      <w:start w:val="1"/>
      <w:numFmt w:val="bullet"/>
      <w:lvlText w:val="▪"/>
      <w:lvlJc w:val="left"/>
      <w:pPr>
        <w:ind w:left="4435" w:hanging="4435"/>
      </w:pPr>
      <w:rPr>
        <w:rFonts w:ascii="Times New Roman" w:cs="Times New Roman" w:eastAsia="Times New Roman" w:hAnsi="Times New Roman"/>
        <w:b w:val="0"/>
        <w:i w:val="0"/>
        <w:strike w:val="0"/>
        <w:color w:val="000000"/>
        <w:sz w:val="24"/>
        <w:szCs w:val="24"/>
        <w:u w:val="none"/>
        <w:shd w:fill="auto" w:val="clear"/>
        <w:vertAlign w:val="baseline"/>
      </w:rPr>
    </w:lvl>
    <w:lvl w:ilvl="6">
      <w:start w:val="1"/>
      <w:numFmt w:val="bullet"/>
      <w:lvlText w:val="•"/>
      <w:lvlJc w:val="left"/>
      <w:pPr>
        <w:ind w:left="5155" w:hanging="5155"/>
      </w:pPr>
      <w:rPr>
        <w:rFonts w:ascii="Times New Roman" w:cs="Times New Roman" w:eastAsia="Times New Roman" w:hAnsi="Times New Roman"/>
        <w:b w:val="0"/>
        <w:i w:val="0"/>
        <w:strike w:val="0"/>
        <w:color w:val="000000"/>
        <w:sz w:val="24"/>
        <w:szCs w:val="24"/>
        <w:u w:val="none"/>
        <w:shd w:fill="auto" w:val="clear"/>
        <w:vertAlign w:val="baseline"/>
      </w:rPr>
    </w:lvl>
    <w:lvl w:ilvl="7">
      <w:start w:val="1"/>
      <w:numFmt w:val="bullet"/>
      <w:lvlText w:val="o"/>
      <w:lvlJc w:val="left"/>
      <w:pPr>
        <w:ind w:left="5875" w:hanging="5875"/>
      </w:pPr>
      <w:rPr>
        <w:rFonts w:ascii="Times New Roman" w:cs="Times New Roman" w:eastAsia="Times New Roman" w:hAnsi="Times New Roman"/>
        <w:b w:val="0"/>
        <w:i w:val="0"/>
        <w:strike w:val="0"/>
        <w:color w:val="000000"/>
        <w:sz w:val="24"/>
        <w:szCs w:val="24"/>
        <w:u w:val="none"/>
        <w:shd w:fill="auto" w:val="clear"/>
        <w:vertAlign w:val="baseline"/>
      </w:rPr>
    </w:lvl>
    <w:lvl w:ilvl="8">
      <w:start w:val="1"/>
      <w:numFmt w:val="bullet"/>
      <w:lvlText w:val="▪"/>
      <w:lvlJc w:val="left"/>
      <w:pPr>
        <w:ind w:left="6595" w:hanging="6595"/>
      </w:pPr>
      <w:rPr>
        <w:rFonts w:ascii="Times New Roman" w:cs="Times New Roman" w:eastAsia="Times New Roman" w:hAnsi="Times New Roman"/>
        <w:b w:val="0"/>
        <w:i w:val="0"/>
        <w:strike w:val="0"/>
        <w:color w:val="000000"/>
        <w:sz w:val="24"/>
        <w:szCs w:val="24"/>
        <w:u w:val="none"/>
        <w:shd w:fill="auto" w:val="clea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Standard" w:customStyle="1">
    <w:name w:val="Standard"/>
    <w:pPr>
      <w:widowControl w:val="1"/>
      <w:spacing w:after="240"/>
      <w:jc w:val="both"/>
    </w:pPr>
    <w:rPr>
      <w:rFonts w:cs="Arial" w:eastAsia="Times New Roman"/>
    </w:rPr>
  </w:style>
  <w:style w:type="paragraph" w:styleId="Heading" w:customStyle="1">
    <w:name w:val="Heading"/>
    <w:basedOn w:val="Standard"/>
    <w:next w:val="Textbody"/>
    <w:pPr>
      <w:keepNext w:val="1"/>
      <w:spacing w:after="120" w:before="240"/>
    </w:pPr>
    <w:rPr>
      <w:rFonts w:ascii="Liberation Sans" w:cs="Arial Unicode MS" w:eastAsia="Arial Unicode MS" w:hAnsi="Liberation Sans"/>
      <w:sz w:val="28"/>
      <w:szCs w:val="28"/>
    </w:rPr>
  </w:style>
  <w:style w:type="paragraph" w:styleId="Textbody" w:customStyle="1">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val="1"/>
      <w:spacing w:after="120" w:before="120"/>
    </w:pPr>
    <w:rPr>
      <w:i w:val="1"/>
      <w:iCs w:val="1"/>
      <w:sz w:val="24"/>
      <w:szCs w:val="24"/>
    </w:rPr>
  </w:style>
  <w:style w:type="paragraph" w:styleId="Index" w:customStyle="1">
    <w:name w:val="Index"/>
    <w:basedOn w:val="Standard"/>
    <w:pPr>
      <w:suppressLineNumbers w:val="1"/>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styleId="MarginText" w:customStyle="1">
    <w:name w:val="Margin Text"/>
    <w:basedOn w:val="Standard"/>
    <w:pPr>
      <w:keepNext w:val="1"/>
      <w:overflowPunct w:val="0"/>
      <w:spacing w:after="120" w:before="240"/>
      <w:ind w:left="142"/>
    </w:pPr>
    <w:rPr>
      <w:rFonts w:cs="Times New Roman" w:eastAsia="STZhongsong"/>
      <w:szCs w:val="18"/>
      <w:lang w:eastAsia="zh-CN"/>
    </w:rPr>
  </w:style>
  <w:style w:type="paragraph" w:styleId="GPSL1CLAUSEHEADING" w:customStyle="1">
    <w:name w:val="GPS L1 CLAUSE HEADING"/>
    <w:basedOn w:val="Standard"/>
    <w:next w:val="Standard"/>
    <w:pPr>
      <w:tabs>
        <w:tab w:val="left" w:pos="142"/>
      </w:tabs>
      <w:overflowPunct w:val="0"/>
      <w:spacing w:before="120"/>
      <w:outlineLvl w:val="1"/>
    </w:pPr>
    <w:rPr>
      <w:rFonts w:eastAsia="STZhongsong"/>
      <w:b w:val="1"/>
      <w:caps w:val="1"/>
      <w:lang w:eastAsia="zh-CN"/>
    </w:rPr>
  </w:style>
  <w:style w:type="paragraph" w:styleId="GPSL3numberedclause" w:customStyle="1">
    <w:name w:val="GPS L3 numbered clause"/>
    <w:basedOn w:val="Standard"/>
    <w:pPr>
      <w:tabs>
        <w:tab w:val="left" w:pos="3641"/>
      </w:tabs>
      <w:overflowPunct w:val="0"/>
      <w:spacing w:after="120" w:before="120"/>
      <w:ind w:left="1656"/>
    </w:pPr>
    <w:rPr>
      <w:lang w:eastAsia="zh-CN"/>
    </w:rPr>
  </w:style>
  <w:style w:type="paragraph" w:styleId="GPSL4numberedclause" w:customStyle="1">
    <w:name w:val="GPS L4 numbered clause"/>
    <w:basedOn w:val="GPSL3numberedclause"/>
    <w:pPr>
      <w:tabs>
        <w:tab w:val="clear" w:pos="3641"/>
      </w:tabs>
      <w:ind w:left="2592" w:hanging="936"/>
    </w:pPr>
  </w:style>
  <w:style w:type="paragraph" w:styleId="GPSL5numberedclause" w:customStyle="1">
    <w:name w:val="GPS L5 numbered clause"/>
    <w:basedOn w:val="GPSL4numberedclause"/>
    <w:pPr>
      <w:tabs>
        <w:tab w:val="left" w:pos="6238"/>
      </w:tabs>
      <w:ind w:left="3119" w:hanging="567"/>
    </w:pPr>
  </w:style>
  <w:style w:type="paragraph" w:styleId="GPSL2NumberedBoldHeading" w:customStyle="1">
    <w:name w:val="GPS L2 Numbered Bold Heading"/>
    <w:basedOn w:val="Standard"/>
    <w:pPr>
      <w:tabs>
        <w:tab w:val="left" w:pos="3054"/>
      </w:tabs>
      <w:overflowPunct w:val="0"/>
      <w:spacing w:after="120" w:before="120"/>
      <w:ind w:left="1920"/>
    </w:pPr>
    <w:rPr>
      <w:b w:val="1"/>
      <w:lang w:eastAsia="zh-CN"/>
    </w:rPr>
  </w:style>
  <w:style w:type="paragraph" w:styleId="GPSL6numbered" w:customStyle="1">
    <w:name w:val="GPS L6 numbered"/>
    <w:basedOn w:val="GPSL5numberedclause"/>
    <w:pPr>
      <w:tabs>
        <w:tab w:val="clear" w:pos="6238"/>
        <w:tab w:val="left" w:pos="4046"/>
        <w:tab w:val="left" w:pos="7372"/>
      </w:tabs>
      <w:ind w:left="3686"/>
    </w:pPr>
  </w:style>
  <w:style w:type="paragraph" w:styleId="GPSL1Guidance" w:customStyle="1">
    <w:name w:val="GPS L1 Guidance"/>
    <w:basedOn w:val="Standard"/>
    <w:pPr>
      <w:spacing w:after="120" w:before="240"/>
      <w:ind w:left="426"/>
    </w:pPr>
    <w:rPr>
      <w:b w:val="1"/>
      <w:i w:val="1"/>
    </w:rPr>
  </w:style>
  <w:style w:type="paragraph" w:styleId="GPSL1SCHEDULEHeading" w:customStyle="1">
    <w:name w:val="GPS L1 SCHEDULE Heading"/>
    <w:basedOn w:val="GPSL1CLAUSEHEADING"/>
    <w:pPr>
      <w:tabs>
        <w:tab w:val="clear" w:pos="142"/>
      </w:tabs>
    </w:pPr>
  </w:style>
  <w:style w:type="paragraph" w:styleId="GPSmacrorestart" w:customStyle="1">
    <w:name w:val="GPS macro restart"/>
    <w:basedOn w:val="Standard"/>
    <w:qFormat w:val="1"/>
    <w:pPr>
      <w:spacing w:after="0"/>
    </w:pPr>
    <w:rPr>
      <w:color w:val="ffffff"/>
      <w:sz w:val="16"/>
      <w:szCs w:val="16"/>
    </w:rPr>
  </w:style>
  <w:style w:type="paragraph" w:styleId="GPSSchTitleandNumber" w:customStyle="1">
    <w:name w:val="GPS Sch Title and Number"/>
    <w:basedOn w:val="Standard"/>
    <w:pPr>
      <w:keepNext w:val="1"/>
      <w:overflowPunct w:val="0"/>
      <w:ind w:firstLine="426"/>
      <w:jc w:val="center"/>
      <w:outlineLvl w:val="0"/>
    </w:pPr>
    <w:rPr>
      <w:rFonts w:ascii="Arial Bold" w:cs="Times New Roman" w:eastAsia="STZhongsong" w:hAnsi="Arial Bold"/>
      <w:b w:val="1"/>
      <w:caps w:val="1"/>
      <w:lang w:eastAsia="zh-CN"/>
    </w:rPr>
  </w:style>
  <w:style w:type="paragraph" w:styleId="GPSSchPart" w:customStyle="1">
    <w:name w:val="GPS Sch Part"/>
    <w:basedOn w:val="Standard"/>
    <w:qFormat w:val="1"/>
    <w:pPr>
      <w:keepNext w:val="1"/>
      <w:overflowPunct w:val="0"/>
      <w:spacing w:before="240"/>
      <w:ind w:firstLine="426"/>
      <w:jc w:val="center"/>
    </w:pPr>
    <w:rPr>
      <w:rFonts w:ascii="Arial Bold" w:cs="Times New Roman" w:eastAsia="STZhongsong" w:hAnsi="Arial Bold"/>
      <w:b w:val="1"/>
      <w:caps w:val="1"/>
      <w:lang w:eastAsia="zh-CN"/>
    </w:rPr>
  </w:style>
  <w:style w:type="paragraph" w:styleId="GPSL2Numbered" w:customStyle="1">
    <w:name w:val="GPS L2 Numbered"/>
    <w:basedOn w:val="GPSL2NumberedBoldHeading"/>
    <w:pPr>
      <w:tabs>
        <w:tab w:val="clear" w:pos="3054"/>
      </w:tabs>
      <w:ind w:left="936" w:hanging="576"/>
    </w:pPr>
    <w:rPr>
      <w:b w:val="0"/>
    </w:rPr>
  </w:style>
  <w:style w:type="paragraph" w:styleId="GPSL1Schedulenumbered" w:customStyle="1">
    <w:name w:val="GPS L1 Schedule numbered"/>
    <w:basedOn w:val="Standard"/>
    <w:qFormat w:val="1"/>
    <w:pPr>
      <w:tabs>
        <w:tab w:val="left" w:pos="851"/>
      </w:tabs>
    </w:pPr>
  </w:style>
  <w:style w:type="paragraph" w:styleId="BalloonText">
    <w:name w:val="Balloon Text"/>
    <w:basedOn w:val="Standard"/>
    <w:pPr>
      <w:spacing w:after="0"/>
    </w:pPr>
    <w:rPr>
      <w:rFonts w:ascii="Tahoma" w:cs="Tahoma" w:eastAsia="Tahoma" w:hAnsi="Tahoma"/>
      <w:sz w:val="16"/>
      <w:szCs w:val="16"/>
    </w:rPr>
  </w:style>
  <w:style w:type="paragraph" w:styleId="GPSL2Guidance" w:customStyle="1">
    <w:name w:val="GPS L2 Guidance"/>
    <w:basedOn w:val="Standard"/>
    <w:pPr>
      <w:tabs>
        <w:tab w:val="left" w:pos="2268"/>
      </w:tabs>
      <w:overflowPunct w:val="0"/>
      <w:spacing w:after="120" w:before="120"/>
      <w:ind w:left="1134"/>
    </w:pPr>
    <w:rPr>
      <w:b w:val="1"/>
      <w:i w:val="1"/>
      <w:lang w:eastAsia="zh-CN"/>
    </w:rPr>
  </w:style>
  <w:style w:type="paragraph" w:styleId="GPSL2Indent" w:customStyle="1">
    <w:name w:val="GPS L2 Indent"/>
    <w:basedOn w:val="Standard"/>
    <w:pPr>
      <w:tabs>
        <w:tab w:val="left" w:pos="4536"/>
      </w:tabs>
      <w:spacing w:after="220"/>
      <w:ind w:left="1134"/>
    </w:pPr>
    <w:rPr>
      <w:szCs w:val="24"/>
    </w:rPr>
  </w:style>
  <w:style w:type="paragraph" w:styleId="GPSL4Guidance" w:customStyle="1">
    <w:name w:val="GPS L4 Guidance"/>
    <w:basedOn w:val="Standard"/>
    <w:pPr>
      <w:tabs>
        <w:tab w:val="left" w:pos="3970"/>
      </w:tabs>
      <w:overflowPunct w:val="0"/>
      <w:spacing w:after="120" w:before="120"/>
      <w:ind w:left="1985"/>
    </w:pPr>
    <w:rPr>
      <w:b w:val="1"/>
      <w:i w:val="1"/>
      <w:lang w:eastAsia="zh-CN"/>
    </w:rPr>
  </w:style>
  <w:style w:type="paragraph" w:styleId="GPSL2non-numberboldheading" w:customStyle="1">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val="1"/>
      <w:bCs w:val="1"/>
    </w:rPr>
  </w:style>
  <w:style w:type="character" w:styleId="HeaderChar" w:customStyle="1">
    <w:name w:val="Header Char"/>
    <w:basedOn w:val="DefaultParagraphFont"/>
  </w:style>
  <w:style w:type="character" w:styleId="FooterChar" w:customStyle="1">
    <w:name w:val="Footer Char"/>
    <w:basedOn w:val="DefaultParagraphFont"/>
    <w:uiPriority w:val="99"/>
  </w:style>
  <w:style w:type="character" w:styleId="Emphasis">
    <w:name w:val="Emphasis"/>
    <w:basedOn w:val="DefaultParagraphFont"/>
    <w:rPr>
      <w:i w:val="1"/>
      <w:iCs w:val="1"/>
    </w:rPr>
  </w:style>
  <w:style w:type="character" w:styleId="MarginTextChar" w:customStyle="1">
    <w:name w:val="Margin Text Char"/>
    <w:rPr>
      <w:rFonts w:ascii="Calibri" w:cs="Times New Roman" w:eastAsia="STZhongsong" w:hAnsi="Calibri"/>
      <w:szCs w:val="18"/>
      <w:lang w:eastAsia="zh-CN"/>
    </w:rPr>
  </w:style>
  <w:style w:type="character" w:styleId="GPSL2NumberedChar" w:customStyle="1">
    <w:name w:val="GPS L2 Numbered Char"/>
    <w:rPr>
      <w:rFonts w:ascii="Calibri" w:cs="Arial" w:eastAsia="Times New Roman" w:hAnsi="Calibri"/>
      <w:lang w:eastAsia="zh-CN"/>
    </w:rPr>
  </w:style>
  <w:style w:type="character" w:styleId="GPSL1SCHEDULEHeadingChar" w:customStyle="1">
    <w:name w:val="GPS L1 SCHEDULE Heading Char"/>
    <w:rPr>
      <w:rFonts w:ascii="Calibri" w:cs="Arial" w:eastAsia="STZhongsong" w:hAnsi="Calibri"/>
      <w:b w:val="1"/>
      <w:caps w:val="1"/>
      <w:lang w:eastAsia="zh-CN"/>
    </w:rPr>
  </w:style>
  <w:style w:type="character" w:styleId="GPSL1SchedulenumberedChar1" w:customStyle="1">
    <w:name w:val="GPS L1 Schedule numbered Char1"/>
    <w:rPr>
      <w:rFonts w:ascii="Calibri" w:cs="Arial" w:eastAsia="Times New Roman" w:hAnsi="Calibri"/>
    </w:rPr>
  </w:style>
  <w:style w:type="character" w:styleId="GPSL1GuidanceChar" w:customStyle="1">
    <w:name w:val="GPS L1 Guidance Char"/>
    <w:rPr>
      <w:rFonts w:ascii="Calibri" w:cs="Arial" w:eastAsia="Times New Roman" w:hAnsi="Calibri"/>
      <w:b w:val="1"/>
      <w:i w:val="1"/>
    </w:rPr>
  </w:style>
  <w:style w:type="character" w:styleId="GPSSchTitleandNumberChar" w:customStyle="1">
    <w:name w:val="GPS Sch Title and Number Char"/>
    <w:rPr>
      <w:rFonts w:ascii="Arial Bold" w:cs="Times New Roman" w:eastAsia="STZhongsong" w:hAnsi="Arial Bold"/>
      <w:b w:val="1"/>
      <w:caps w:val="1"/>
      <w:lang w:eastAsia="zh-CN"/>
    </w:rPr>
  </w:style>
  <w:style w:type="character" w:styleId="GPSSchPartChar" w:customStyle="1">
    <w:name w:val="GPS Sch Part Char"/>
    <w:rPr>
      <w:rFonts w:ascii="Arial Bold" w:cs="Times New Roman" w:eastAsia="STZhongsong" w:hAnsi="Arial Bold"/>
      <w:b w:val="1"/>
      <w:caps w:val="1"/>
      <w:lang w:eastAsia="zh-CN"/>
    </w:rPr>
  </w:style>
  <w:style w:type="character" w:styleId="BalloonTextChar" w:customStyle="1">
    <w:name w:val="Balloon Text Char"/>
    <w:basedOn w:val="DefaultParagraphFont"/>
    <w:rPr>
      <w:rFonts w:ascii="Tahoma" w:cs="Tahoma" w:eastAsia="Times New Roman" w:hAnsi="Tahoma"/>
      <w:sz w:val="16"/>
      <w:szCs w:val="16"/>
    </w:rPr>
  </w:style>
  <w:style w:type="character" w:styleId="GPSL4numberedclauseChar" w:customStyle="1">
    <w:name w:val="GPS L4 numbered clause Char"/>
    <w:rPr>
      <w:rFonts w:ascii="Calibri" w:cs="Arial" w:eastAsia="Times New Roman" w:hAnsi="Calibri"/>
      <w:lang w:eastAsia="zh-CN"/>
    </w:rPr>
  </w:style>
  <w:style w:type="character" w:styleId="GPSL3numberedclauseChar" w:customStyle="1">
    <w:name w:val="GPS L3 numbered clause Char"/>
    <w:rPr>
      <w:rFonts w:ascii="Calibri" w:cs="Arial" w:eastAsia="Times New Roman" w:hAnsi="Calibri"/>
      <w:lang w:eastAsia="zh-CN"/>
    </w:rPr>
  </w:style>
  <w:style w:type="character" w:styleId="GPSL5numberedclauseChar" w:customStyle="1">
    <w:name w:val="GPS L5 numbered clause Char"/>
    <w:rPr>
      <w:rFonts w:ascii="Calibri" w:cs="Arial" w:eastAsia="Times New Roman" w:hAnsi="Calibri"/>
      <w:lang w:eastAsia="zh-CN"/>
    </w:rPr>
  </w:style>
  <w:style w:type="character" w:styleId="GPSL4GuidanceChar" w:customStyle="1">
    <w:name w:val="GPS L4 Guidance Char"/>
    <w:rPr>
      <w:rFonts w:ascii="Calibri" w:cs="Arial" w:eastAsia="Times New Roman" w:hAnsi="Calibri"/>
      <w:b w:val="1"/>
      <w:i w:val="1"/>
      <w:lang w:eastAsia="zh-CN"/>
    </w:rPr>
  </w:style>
  <w:style w:type="character" w:styleId="GPSL2non-numberboldheadingChar" w:customStyle="1">
    <w:name w:val="GPS L2 non-number bold heading Char"/>
    <w:rPr>
      <w:rFonts w:ascii="Calibri" w:cs="Arial" w:eastAsia="Times New Roman" w:hAnsi="Calibri"/>
      <w:b w:val="1"/>
      <w:lang w:eastAsia="zh-CN"/>
    </w:rPr>
  </w:style>
  <w:style w:type="character" w:styleId="GPSL2IndentChar" w:customStyle="1">
    <w:name w:val="GPS L2 Indent Char"/>
    <w:rPr>
      <w:rFonts w:ascii="Calibri" w:cs="Arial" w:eastAsia="Times New Roman" w:hAnsi="Calibri"/>
      <w:szCs w:val="24"/>
    </w:rPr>
  </w:style>
  <w:style w:type="character" w:styleId="GPSL2GuidanceChar" w:customStyle="1">
    <w:name w:val="GPS L2 Guidance Char"/>
    <w:rPr>
      <w:rFonts w:ascii="Calibri" w:cs="Arial" w:eastAsia="Times New Roman" w:hAnsi="Calibri"/>
      <w:b w:val="1"/>
      <w:i w:val="1"/>
      <w:lang w:eastAsia="zh-CN"/>
    </w:rPr>
  </w:style>
  <w:style w:type="character" w:styleId="CommentReference">
    <w:name w:val="annotation reference"/>
    <w:basedOn w:val="DefaultParagraphFont"/>
    <w:rPr>
      <w:sz w:val="16"/>
      <w:szCs w:val="16"/>
    </w:rPr>
  </w:style>
  <w:style w:type="character" w:styleId="CommentTextChar" w:customStyle="1">
    <w:name w:val="Comment Text Char"/>
    <w:basedOn w:val="DefaultParagraphFont"/>
    <w:rPr>
      <w:rFonts w:ascii="Calibri" w:cs="Arial" w:eastAsia="Times New Roman" w:hAnsi="Calibri"/>
      <w:sz w:val="20"/>
      <w:szCs w:val="20"/>
    </w:rPr>
  </w:style>
  <w:style w:type="character" w:styleId="CommentSubjectChar" w:customStyle="1">
    <w:name w:val="Comment Subject Char"/>
    <w:basedOn w:val="CommentTextChar"/>
    <w:rPr>
      <w:rFonts w:ascii="Calibri" w:cs="Arial" w:eastAsia="Times New Roman" w:hAnsi="Calibri"/>
      <w:b w:val="1"/>
      <w:bCs w:val="1"/>
      <w:sz w:val="20"/>
      <w:szCs w:val="20"/>
    </w:rPr>
  </w:style>
  <w:style w:type="character" w:styleId="ListLabel1" w:customStyle="1">
    <w:name w:val="ListLabel 1"/>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 w:customStyle="1">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 w:customStyle="1">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 w:customStyle="1">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 w:customStyle="1">
    <w:name w:val="ListLabel 5"/>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 w:customStyle="1">
    <w:name w:val="ListLabel 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 w:customStyle="1">
    <w:name w:val="ListLabel 7"/>
    <w:rPr>
      <w:rFonts w:cs="Times New Roman"/>
    </w:rPr>
  </w:style>
  <w:style w:type="character" w:styleId="ListLabel8" w:customStyle="1">
    <w:name w:val="ListLabel 8"/>
    <w:rPr>
      <w:rFonts w:cs="Times New Roman"/>
    </w:rPr>
  </w:style>
  <w:style w:type="character" w:styleId="ListLabel9" w:customStyle="1">
    <w:name w:val="ListLabel 9"/>
    <w:rPr>
      <w:rFonts w:cs="Times New Roman"/>
    </w:rPr>
  </w:style>
  <w:style w:type="character" w:styleId="ListLabel10" w:customStyle="1">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11" w:customStyle="1">
    <w:name w:val="ListLabel 11"/>
    <w:rPr>
      <w:rFonts w:cs="Times New Roman"/>
    </w:rPr>
  </w:style>
  <w:style w:type="character" w:styleId="ListLabel12" w:customStyle="1">
    <w:name w:val="ListLabel 12"/>
    <w:rPr>
      <w:rFonts w:cs="Times New Roman"/>
    </w:rPr>
  </w:style>
  <w:style w:type="character" w:styleId="ListLabel13" w:customStyle="1">
    <w:name w:val="ListLabel 13"/>
    <w:rPr>
      <w:rFonts w:cs="Times New Roman"/>
    </w:rPr>
  </w:style>
  <w:style w:type="character" w:styleId="ListLabel14" w:customStyle="1">
    <w:name w:val="ListLabel 14"/>
    <w:rPr>
      <w:rFonts w:cs="Times New Roman"/>
    </w:rPr>
  </w:style>
  <w:style w:type="character" w:styleId="ListLabel15" w:customStyle="1">
    <w:name w:val="ListLabel 15"/>
    <w:rPr>
      <w:rFonts w:cs="Times New Roman"/>
    </w:rPr>
  </w:style>
  <w:style w:type="character" w:styleId="ListLabel16" w:customStyle="1">
    <w:name w:val="ListLabel 16"/>
    <w:rPr>
      <w:rFonts w:cs="Times New Roman"/>
    </w:rPr>
  </w:style>
  <w:style w:type="character" w:styleId="ListLabel17" w:customStyle="1">
    <w:name w:val="ListLabel 17"/>
    <w:rPr>
      <w:rFonts w:cs="Times New Roman"/>
    </w:rPr>
  </w:style>
  <w:style w:type="character" w:styleId="ListLabel18" w:customStyle="1">
    <w:name w:val="ListLabel 18"/>
    <w:rPr>
      <w:rFonts w:cs="Times New Roman"/>
    </w:rPr>
  </w:style>
  <w:style w:type="character" w:styleId="ListLabel19" w:customStyle="1">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0" w:customStyle="1">
    <w:name w:val="ListLabel 20"/>
    <w:rPr>
      <w:rFonts w:cs="Times New Roman"/>
    </w:rPr>
  </w:style>
  <w:style w:type="character" w:styleId="ListLabel21" w:customStyle="1">
    <w:name w:val="ListLabel 21"/>
    <w:rPr>
      <w:rFonts w:cs="Times New Roman"/>
    </w:rPr>
  </w:style>
  <w:style w:type="character" w:styleId="ListLabel22" w:customStyle="1">
    <w:name w:val="ListLabel 22"/>
    <w:rPr>
      <w:rFonts w:cs="Times New Roman"/>
    </w:rPr>
  </w:style>
  <w:style w:type="character" w:styleId="ListLabel23" w:customStyle="1">
    <w:name w:val="ListLabel 23"/>
    <w:rPr>
      <w:rFonts w:cs="Times New Roman"/>
    </w:rPr>
  </w:style>
  <w:style w:type="character" w:styleId="ListLabel24" w:customStyle="1">
    <w:name w:val="ListLabel 24"/>
    <w:rPr>
      <w:rFonts w:cs="Times New Roman"/>
    </w:rPr>
  </w:style>
  <w:style w:type="character" w:styleId="ListLabel25" w:customStyle="1">
    <w:name w:val="ListLabel 25"/>
    <w:rPr>
      <w:rFonts w:cs="Times New Roman"/>
    </w:rPr>
  </w:style>
  <w:style w:type="character" w:styleId="ListLabel26" w:customStyle="1">
    <w:name w:val="ListLabel 26"/>
    <w:rPr>
      <w:rFonts w:cs="Times New Roman"/>
    </w:rPr>
  </w:style>
  <w:style w:type="character" w:styleId="ListLabel27" w:customStyle="1">
    <w:name w:val="ListLabel 27"/>
    <w:rPr>
      <w:rFonts w:cs="Times New Roman"/>
    </w:rPr>
  </w:style>
  <w:style w:type="character" w:styleId="ListLabel28" w:customStyle="1">
    <w:name w:val="ListLabel 28"/>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29" w:customStyle="1">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0" w:customStyle="1">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1" w:customStyle="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2" w:customStyle="1">
    <w:name w:val="ListLabel 3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3" w:customStyle="1">
    <w:name w:val="ListLabel 33"/>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34" w:customStyle="1">
    <w:name w:val="ListLabel 34"/>
    <w:rPr>
      <w:rFonts w:cs="Times New Roman"/>
    </w:rPr>
  </w:style>
  <w:style w:type="character" w:styleId="ListLabel35" w:customStyle="1">
    <w:name w:val="ListLabel 35"/>
    <w:rPr>
      <w:rFonts w:cs="Times New Roman"/>
    </w:rPr>
  </w:style>
  <w:style w:type="character" w:styleId="ListLabel36" w:customStyle="1">
    <w:name w:val="ListLabel 36"/>
    <w:rPr>
      <w:rFonts w:cs="Times New Roman"/>
    </w:rPr>
  </w:style>
  <w:style w:type="character" w:styleId="ListLabel37" w:customStyle="1">
    <w:name w:val="ListLabel 37"/>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8" w:customStyle="1">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39" w:customStyle="1">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0" w:customStyle="1">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1" w:customStyle="1">
    <w:name w:val="ListLabel 4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2" w:customStyle="1">
    <w:name w:val="ListLabel 42"/>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43" w:customStyle="1">
    <w:name w:val="ListLabel 43"/>
    <w:rPr>
      <w:rFonts w:cs="Times New Roman"/>
    </w:rPr>
  </w:style>
  <w:style w:type="character" w:styleId="ListLabel44" w:customStyle="1">
    <w:name w:val="ListLabel 44"/>
    <w:rPr>
      <w:rFonts w:cs="Times New Roman"/>
    </w:rPr>
  </w:style>
  <w:style w:type="character" w:styleId="ListLabel45" w:customStyle="1">
    <w:name w:val="ListLabel 45"/>
    <w:rPr>
      <w:rFonts w:cs="Times New Roman"/>
    </w:rPr>
  </w:style>
  <w:style w:type="character" w:styleId="ListLabel46" w:customStyle="1">
    <w:name w:val="ListLabel 46"/>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7" w:customStyle="1">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8" w:customStyle="1">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49" w:customStyle="1">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0" w:customStyle="1">
    <w:name w:val="ListLabel 5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1" w:customStyle="1">
    <w:name w:val="ListLabel 51"/>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52" w:customStyle="1">
    <w:name w:val="ListLabel 52"/>
    <w:rPr>
      <w:rFonts w:cs="Times New Roman"/>
    </w:rPr>
  </w:style>
  <w:style w:type="character" w:styleId="ListLabel53" w:customStyle="1">
    <w:name w:val="ListLabel 53"/>
    <w:rPr>
      <w:rFonts w:cs="Times New Roman"/>
    </w:rPr>
  </w:style>
  <w:style w:type="character" w:styleId="ListLabel54" w:customStyle="1">
    <w:name w:val="ListLabel 54"/>
    <w:rPr>
      <w:rFonts w:cs="Times New Roman"/>
    </w:rPr>
  </w:style>
  <w:style w:type="character" w:styleId="ListLabel55" w:customStyle="1">
    <w:name w:val="ListLabel 55"/>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6" w:customStyle="1">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7" w:customStyle="1">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8" w:customStyle="1">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59" w:customStyle="1">
    <w:name w:val="ListLabel 59"/>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0" w:customStyle="1">
    <w:name w:val="ListLabel 60"/>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61" w:customStyle="1">
    <w:name w:val="ListLabel 61"/>
    <w:rPr>
      <w:rFonts w:cs="Times New Roman"/>
    </w:rPr>
  </w:style>
  <w:style w:type="character" w:styleId="ListLabel62" w:customStyle="1">
    <w:name w:val="ListLabel 62"/>
    <w:rPr>
      <w:rFonts w:cs="Times New Roman"/>
    </w:rPr>
  </w:style>
  <w:style w:type="character" w:styleId="ListLabel63" w:customStyle="1">
    <w:name w:val="ListLabel 63"/>
    <w:rPr>
      <w:rFonts w:cs="Times New Roman"/>
    </w:rPr>
  </w:style>
  <w:style w:type="character" w:styleId="ListLabel64" w:customStyle="1">
    <w:name w:val="ListLabel 64"/>
    <w:rPr>
      <w:rFonts w:cs="Courier New"/>
      <w:b w:val="0"/>
    </w:rPr>
  </w:style>
  <w:style w:type="character" w:styleId="ListLabel65" w:customStyle="1">
    <w:name w:val="ListLabel 65"/>
    <w:rPr>
      <w:rFonts w:cs="Courier New"/>
    </w:rPr>
  </w:style>
  <w:style w:type="character" w:styleId="ListLabel66" w:customStyle="1">
    <w:name w:val="ListLabel 66"/>
    <w:rPr>
      <w:rFonts w:cs="Courier New"/>
    </w:rPr>
  </w:style>
  <w:style w:type="character" w:styleId="ListLabel67" w:customStyle="1">
    <w:name w:val="ListLabel 67"/>
    <w:rPr>
      <w:rFonts w:cs="Courier New"/>
    </w:rPr>
  </w:style>
  <w:style w:type="character" w:styleId="ListLabel68" w:customStyle="1">
    <w:name w:val="ListLabel 68"/>
    <w:rPr>
      <w:rFonts w:cs="Courier New"/>
    </w:rPr>
  </w:style>
  <w:style w:type="character" w:styleId="ListLabel69" w:customStyle="1">
    <w:name w:val="ListLabel 69"/>
    <w:rPr>
      <w:rFonts w:cs="Courier New"/>
    </w:rPr>
  </w:style>
  <w:style w:type="character" w:styleId="ListLabel70" w:customStyle="1">
    <w:name w:val="ListLabel 70"/>
    <w:rPr>
      <w:rFonts w:cs="Courier New"/>
    </w:rPr>
  </w:style>
  <w:style w:type="character" w:styleId="ListLabel71" w:customStyle="1">
    <w:name w:val="ListLabel 71"/>
    <w:rPr>
      <w:rFonts w:cs="Courier New"/>
    </w:rPr>
  </w:style>
  <w:style w:type="character" w:styleId="ListLabel72" w:customStyle="1">
    <w:name w:val="ListLabel 72"/>
    <w:rPr>
      <w:rFonts w:cs="Courier New"/>
    </w:rPr>
  </w:style>
  <w:style w:type="character" w:styleId="ListLabel73" w:customStyle="1">
    <w:name w:val="ListLabel 73"/>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4" w:customStyle="1">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5" w:customStyle="1">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6" w:customStyle="1">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77" w:customStyle="1">
    <w:name w:val="ListLabel 7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8" w:customStyle="1">
    <w:name w:val="ListLabel 78"/>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79" w:customStyle="1">
    <w:name w:val="ListLabel 79"/>
    <w:rPr>
      <w:rFonts w:cs="Times New Roman"/>
    </w:rPr>
  </w:style>
  <w:style w:type="character" w:styleId="ListLabel80" w:customStyle="1">
    <w:name w:val="ListLabel 80"/>
    <w:rPr>
      <w:rFonts w:cs="Times New Roman"/>
    </w:rPr>
  </w:style>
  <w:style w:type="character" w:styleId="ListLabel81" w:customStyle="1">
    <w:name w:val="ListLabel 81"/>
    <w:rPr>
      <w:rFonts w:cs="Times New Roman"/>
    </w:rPr>
  </w:style>
  <w:style w:type="character" w:styleId="ListLabel82" w:customStyle="1">
    <w:name w:val="ListLabel 82"/>
    <w:rPr>
      <w:rFonts w:cs="Arial"/>
      <w:b w:val="1"/>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3" w:customStyle="1">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4" w:customStyle="1">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5" w:customStyle="1">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algn="none">
        <w14:srgbClr w14:val="000000"/>
      </w14:shadow>
      <w14:textOutline w14:cap="rnd" w14:cmpd="sng" w14:algn="ctr">
        <w14:noFill/>
        <w14:prstDash w14:val="solid"/>
        <w14:bevel/>
      </w14:textOutline>
    </w:rPr>
  </w:style>
  <w:style w:type="character" w:styleId="ListLabel86" w:customStyle="1">
    <w:name w:val="ListLabel 86"/>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7" w:customStyle="1">
    <w:name w:val="ListLabel 87"/>
    <w:rPr>
      <w:b w:val="0"/>
      <w:bCs w:val="0"/>
      <w:i w:val="0"/>
      <w:iCs w:val="0"/>
      <w:caps w:val="0"/>
      <w:smallCaps w:val="0"/>
      <w:strike w:val="0"/>
      <w:dstrike w:val="0"/>
      <w:vanish w:val="0"/>
      <w:color w:val="000000"/>
      <w:spacing w:val="0"/>
      <w:kern w:val="0"/>
      <w:position w:val="0"/>
      <w:u w:val="none"/>
      <w:vertAlign w:val="baseline"/>
      <w:em w:val="none"/>
      <w14:shadow w14:algn="none">
        <w14:srgbClr w14:val="000000"/>
      </w14:shadow>
      <w14:textOutline w14:cap="rnd" w14:cmpd="sng" w14:algn="ctr">
        <w14:noFill/>
        <w14:prstDash w14:val="solid"/>
        <w14:bevel/>
      </w14:textOutline>
    </w:rPr>
  </w:style>
  <w:style w:type="character" w:styleId="ListLabel88" w:customStyle="1">
    <w:name w:val="ListLabel 88"/>
    <w:rPr>
      <w:rFonts w:cs="Times New Roman"/>
    </w:rPr>
  </w:style>
  <w:style w:type="character" w:styleId="ListLabel89" w:customStyle="1">
    <w:name w:val="ListLabel 89"/>
    <w:rPr>
      <w:rFonts w:cs="Times New Roman"/>
    </w:rPr>
  </w:style>
  <w:style w:type="character" w:styleId="ListLabel90" w:customStyle="1">
    <w:name w:val="ListLabel 90"/>
    <w:rPr>
      <w:rFonts w:cs="Times New Roman"/>
    </w:rPr>
  </w:style>
  <w:style w:type="numbering" w:styleId="NoList1" w:customStyle="1">
    <w:name w:val="No List_1"/>
    <w:basedOn w:val="NoList"/>
  </w:style>
  <w:style w:type="numbering" w:styleId="WWNum1" w:customStyle="1">
    <w:name w:val="WWNum1"/>
    <w:basedOn w:val="NoList"/>
  </w:style>
  <w:style w:type="numbering" w:styleId="WWNum2" w:customStyle="1">
    <w:name w:val="WWNum2"/>
    <w:basedOn w:val="NoList"/>
  </w:style>
  <w:style w:type="numbering" w:styleId="WWNum3" w:customStyle="1">
    <w:name w:val="WWNum3"/>
    <w:basedOn w:val="NoList"/>
  </w:style>
  <w:style w:type="numbering" w:styleId="WWNum4" w:customStyle="1">
    <w:name w:val="WWNum4"/>
    <w:basedOn w:val="NoList"/>
  </w:style>
  <w:style w:type="numbering" w:styleId="WWNum5" w:customStyle="1">
    <w:name w:val="WWNum5"/>
    <w:basedOn w:val="NoList"/>
  </w:style>
  <w:style w:type="numbering" w:styleId="WWNum6" w:customStyle="1">
    <w:name w:val="WWNum6"/>
    <w:basedOn w:val="NoList"/>
  </w:style>
  <w:style w:type="numbering" w:styleId="WWNum7" w:customStyle="1">
    <w:name w:val="WWNum7"/>
    <w:basedOn w:val="NoList"/>
  </w:style>
  <w:style w:type="numbering" w:styleId="WWNum8" w:customStyle="1">
    <w:name w:val="WWNum8"/>
    <w:basedOn w:val="NoList"/>
  </w:style>
  <w:style w:type="numbering" w:styleId="WWNum9" w:customStyle="1">
    <w:name w:val="WWNum9"/>
    <w:basedOn w:val="NoList"/>
  </w:style>
  <w:style w:type="numbering" w:styleId="WWNum10" w:customStyle="1">
    <w:name w:val="WWNum10"/>
    <w:basedOn w:val="NoList"/>
  </w:style>
  <w:style w:type="numbering" w:styleId="WWNum11" w:customStyle="1">
    <w:name w:val="WWNum11"/>
    <w:basedOn w:val="NoList"/>
  </w:style>
  <w:style w:type="numbering" w:styleId="WWNum12" w:customStyle="1">
    <w:name w:val="WWNum12"/>
    <w:basedOn w:val="NoList"/>
  </w:style>
  <w:style w:type="numbering" w:styleId="WWNum13" w:customStyle="1">
    <w:name w:val="WWNum13"/>
    <w:basedOn w:val="NoList"/>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3" w:customStyle="1">
    <w:name w:val="3"/>
    <w:basedOn w:val="TableNormal"/>
    <w:tblPr>
      <w:tblStyleRowBandSize w:val="1"/>
      <w:tblStyleColBandSize w:val="1"/>
      <w:tblCellMar>
        <w:left w:w="115.0" w:type="dxa"/>
        <w:right w:w="115.0" w:type="dxa"/>
      </w:tblCellMar>
    </w:tblPr>
  </w:style>
  <w:style w:type="table" w:styleId="2" w:customStyle="1">
    <w:name w:val="2"/>
    <w:basedOn w:val="TableNormal"/>
    <w:tblPr>
      <w:tblStyleRowBandSize w:val="1"/>
      <w:tblStyleColBandSize w:val="1"/>
      <w:tblCellMar>
        <w:left w:w="0.0" w:type="dxa"/>
        <w:right w:w="0.0" w:type="dxa"/>
      </w:tblCellMar>
    </w:tblPr>
  </w:style>
  <w:style w:type="table" w:styleId="1" w:customStyle="1">
    <w:name w:val="1"/>
    <w:basedOn w:val="TableNormal"/>
    <w:tblPr>
      <w:tblStyleRowBandSize w:val="1"/>
      <w:tblStyleColBandSize w:val="1"/>
      <w:tblCellMar>
        <w:top w:w="251.0" w:type="dxa"/>
        <w:left w:w="256.0" w:type="dxa"/>
        <w:bottom w:w="6.0" w:type="dxa"/>
        <w:right w:w="0.0" w:type="dxa"/>
      </w:tblCellMar>
    </w:tblPr>
  </w:style>
  <w:style w:type="paragraph" w:styleId="Revision">
    <w:name w:val="Revision"/>
    <w:hidden w:val="1"/>
    <w:uiPriority w:val="99"/>
    <w:semiHidden w:val="1"/>
    <w:rsid w:val="009D41F7"/>
    <w:pPr>
      <w:widowControl w:val="1"/>
    </w:pPr>
  </w:style>
  <w:style w:type="paragraph" w:styleId="ListParagraph">
    <w:name w:val="List Paragraph"/>
    <w:basedOn w:val="Normal"/>
    <w:uiPriority w:val="34"/>
    <w:qFormat w:val="1"/>
    <w:rsid w:val="008D18C6"/>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251.0" w:type="dxa"/>
        <w:left w:w="256.0" w:type="dxa"/>
        <w:bottom w:w="6.0" w:type="dxa"/>
        <w:right w:w="0.0" w:type="dxa"/>
      </w:tblCellMar>
    </w:tblPr>
  </w:style>
  <w:style w:type="table" w:styleId="Table2">
    <w:basedOn w:val="TableNormal"/>
    <w:tblPr>
      <w:tblStyleRowBandSize w:val="1"/>
      <w:tblStyleColBandSize w:val="1"/>
      <w:tblCellMar>
        <w:top w:w="251.0" w:type="dxa"/>
        <w:left w:w="256.0" w:type="dxa"/>
        <w:bottom w:w="6.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TIwo0C4DEBjCYG9r4rmY+Xa9fw==">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2024-05-24T13:43:00Z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y fmtid="{D5CDD505-2E9C-101B-9397-08002B2CF9AE}" pid="8" name="gCurrentVersion">
    <vt:lpwstr>15 November 2017 D1V4</vt:lpwstr>
  </property>
</Properties>
</file>